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62" w:rsidRPr="00264EE2" w:rsidRDefault="00677962" w:rsidP="00104BDA">
      <w:pPr>
        <w:pStyle w:val="1"/>
        <w:jc w:val="center"/>
        <w:rPr>
          <w:szCs w:val="24"/>
        </w:rPr>
      </w:pPr>
      <w:r w:rsidRPr="00264EE2">
        <w:rPr>
          <w:szCs w:val="24"/>
        </w:rPr>
        <w:t>Раздел І</w:t>
      </w:r>
    </w:p>
    <w:p w:rsidR="00677962" w:rsidRPr="00264EE2" w:rsidRDefault="00F52A04" w:rsidP="00104BDA">
      <w:pPr>
        <w:spacing w:before="240" w:after="240"/>
        <w:jc w:val="center"/>
        <w:rPr>
          <w:b/>
          <w:szCs w:val="24"/>
        </w:rPr>
      </w:pPr>
      <w:r>
        <w:rPr>
          <w:b/>
          <w:szCs w:val="24"/>
        </w:rPr>
        <w:t>ТЕХНИЧЕСКА СПЕЦИФИКАЦИЯ</w:t>
      </w:r>
    </w:p>
    <w:p w:rsidR="00F52A04" w:rsidRDefault="00F52A04" w:rsidP="00104BDA">
      <w:pPr>
        <w:jc w:val="center"/>
      </w:pPr>
      <w:r w:rsidRPr="007050E9">
        <w:t xml:space="preserve">за избор на изпълнител на </w:t>
      </w:r>
      <w:r>
        <w:t>обществена поръчка</w:t>
      </w:r>
      <w:r w:rsidR="00B236BE">
        <w:rPr>
          <w:lang w:val="en-US"/>
        </w:rPr>
        <w:t xml:space="preserve"> </w:t>
      </w:r>
      <w:r>
        <w:t>с предмет:</w:t>
      </w:r>
    </w:p>
    <w:p w:rsidR="00F52A04" w:rsidRPr="00F52A04" w:rsidRDefault="00B7159C" w:rsidP="00104BDA">
      <w:pPr>
        <w:jc w:val="center"/>
        <w:rPr>
          <w:b/>
        </w:rPr>
      </w:pPr>
      <w:r>
        <w:rPr>
          <w:b/>
          <w:szCs w:val="24"/>
        </w:rPr>
        <w:t>„Доставка на електроматериали и резервни части за Улично осветление на община Добричка“</w:t>
      </w:r>
    </w:p>
    <w:p w:rsidR="00677962" w:rsidRDefault="00677962" w:rsidP="00104BDA">
      <w:pPr>
        <w:jc w:val="center"/>
        <w:rPr>
          <w:b/>
          <w:szCs w:val="24"/>
        </w:rPr>
      </w:pPr>
    </w:p>
    <w:p w:rsidR="00F52A04" w:rsidRPr="001E5FED" w:rsidRDefault="00F52A04" w:rsidP="002620AA">
      <w:pPr>
        <w:pStyle w:val="ab"/>
        <w:numPr>
          <w:ilvl w:val="0"/>
          <w:numId w:val="4"/>
        </w:numPr>
        <w:spacing w:before="240" w:line="240" w:lineRule="auto"/>
        <w:jc w:val="both"/>
        <w:rPr>
          <w:b/>
          <w:szCs w:val="24"/>
        </w:rPr>
      </w:pPr>
      <w:r>
        <w:rPr>
          <w:b/>
          <w:szCs w:val="24"/>
          <w:lang w:val="bg-BG"/>
        </w:rPr>
        <w:t>ОПИСАНИЕ ПРЕДМЕТА НА ПОРЪЧКАТА</w:t>
      </w:r>
    </w:p>
    <w:p w:rsidR="00875BC7" w:rsidRDefault="00B93E24" w:rsidP="002620AA">
      <w:pPr>
        <w:pStyle w:val="ab"/>
        <w:spacing w:after="0" w:line="240" w:lineRule="auto"/>
        <w:ind w:left="0" w:firstLine="567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Предмет на обществената поръчка е доставката на </w:t>
      </w:r>
      <w:r w:rsidR="0009207E" w:rsidRPr="0009207E">
        <w:rPr>
          <w:szCs w:val="24"/>
          <w:lang w:val="bg-BG"/>
        </w:rPr>
        <w:t xml:space="preserve">електроматериали и резервни части за улично осветление </w:t>
      </w:r>
      <w:r w:rsidR="009A4C32">
        <w:rPr>
          <w:szCs w:val="24"/>
          <w:lang w:val="bg-BG"/>
        </w:rPr>
        <w:t>в</w:t>
      </w:r>
      <w:r w:rsidR="0009207E">
        <w:rPr>
          <w:szCs w:val="24"/>
          <w:lang w:val="bg-BG"/>
        </w:rPr>
        <w:t xml:space="preserve"> населените места на</w:t>
      </w:r>
      <w:r w:rsidR="0009207E" w:rsidRPr="0009207E">
        <w:rPr>
          <w:szCs w:val="24"/>
          <w:lang w:val="bg-BG"/>
        </w:rPr>
        <w:t xml:space="preserve"> община Добричка през 2019 година</w:t>
      </w:r>
      <w:r w:rsidR="0009207E">
        <w:rPr>
          <w:szCs w:val="24"/>
          <w:lang w:val="bg-BG"/>
        </w:rPr>
        <w:t xml:space="preserve"> и доставка на нови светодиодни улични осветителни тела с цел подмяна на </w:t>
      </w:r>
      <w:r w:rsidR="00AA01A3">
        <w:rPr>
          <w:szCs w:val="24"/>
          <w:lang w:val="bg-BG"/>
        </w:rPr>
        <w:t>старите улични осветители</w:t>
      </w:r>
      <w:r w:rsidR="00B236BE">
        <w:rPr>
          <w:szCs w:val="24"/>
          <w:lang w:val="en-US"/>
        </w:rPr>
        <w:t xml:space="preserve"> </w:t>
      </w:r>
      <w:r w:rsidR="00AF4307">
        <w:rPr>
          <w:szCs w:val="24"/>
          <w:lang w:val="bg-BG"/>
        </w:rPr>
        <w:t>през</w:t>
      </w:r>
      <w:r w:rsidR="00AF4307">
        <w:rPr>
          <w:szCs w:val="24"/>
          <w:lang w:val="en-US"/>
        </w:rPr>
        <w:t xml:space="preserve"> 2018</w:t>
      </w:r>
      <w:r w:rsidR="00AF4307">
        <w:rPr>
          <w:szCs w:val="24"/>
          <w:lang w:val="bg-BG"/>
        </w:rPr>
        <w:t xml:space="preserve"> и 2019 год</w:t>
      </w:r>
      <w:r w:rsidR="00AA01A3">
        <w:rPr>
          <w:szCs w:val="24"/>
          <w:lang w:val="bg-BG"/>
        </w:rPr>
        <w:t>.</w:t>
      </w:r>
    </w:p>
    <w:p w:rsidR="00875BC7" w:rsidRPr="00875BC7" w:rsidRDefault="00875BC7" w:rsidP="002620AA">
      <w:pPr>
        <w:ind w:firstLine="567"/>
        <w:jc w:val="both"/>
        <w:rPr>
          <w:szCs w:val="24"/>
        </w:rPr>
      </w:pPr>
      <w:r w:rsidRPr="00875BC7">
        <w:rPr>
          <w:szCs w:val="24"/>
        </w:rPr>
        <w:t>Обществената поръчка е разделена на две обособени позиции:</w:t>
      </w:r>
    </w:p>
    <w:p w:rsidR="00633C00" w:rsidRDefault="00875BC7" w:rsidP="00633C00">
      <w:pPr>
        <w:pStyle w:val="ab"/>
        <w:spacing w:line="240" w:lineRule="auto"/>
        <w:ind w:left="0" w:firstLine="567"/>
        <w:jc w:val="both"/>
        <w:rPr>
          <w:szCs w:val="24"/>
          <w:lang w:val="bg-BG"/>
        </w:rPr>
      </w:pPr>
      <w:r w:rsidRPr="00B11555">
        <w:rPr>
          <w:b/>
          <w:szCs w:val="24"/>
          <w:u w:val="single"/>
          <w:lang w:val="bg-BG"/>
        </w:rPr>
        <w:t>Обособена позиция 1:</w:t>
      </w:r>
      <w:r w:rsidR="003203D7" w:rsidRPr="003203D7">
        <w:rPr>
          <w:b/>
          <w:szCs w:val="24"/>
          <w:lang w:val="bg-BG"/>
        </w:rPr>
        <w:t xml:space="preserve"> </w:t>
      </w:r>
      <w:r w:rsidRPr="00EF71AA">
        <w:rPr>
          <w:b/>
          <w:szCs w:val="24"/>
          <w:lang w:val="bg-BG"/>
        </w:rPr>
        <w:t>Доставка на електроматериали и резервни части за Улично осветление</w:t>
      </w:r>
      <w:r w:rsidR="00B11555">
        <w:rPr>
          <w:szCs w:val="24"/>
          <w:lang w:val="en-US"/>
        </w:rPr>
        <w:t xml:space="preserve"> - </w:t>
      </w:r>
      <w:r w:rsidR="00B11555">
        <w:rPr>
          <w:color w:val="000000"/>
          <w:szCs w:val="24"/>
          <w:lang w:val="bg-BG"/>
        </w:rPr>
        <w:t>Възложителят ще поръчва електроматериали и резервни части според възникналите нужди за поддържане на уличното осветление в техническа изправност до 31.12.2019г. или до изчерпване на осигурения финансов ресурс от 15 000.00 лв. без включен ДДС (18 000.</w:t>
      </w:r>
      <w:r w:rsidR="00C627A1">
        <w:rPr>
          <w:color w:val="000000"/>
          <w:szCs w:val="24"/>
          <w:lang w:val="bg-BG"/>
        </w:rPr>
        <w:t>00 лв. с ДДС)</w:t>
      </w:r>
      <w:r w:rsidRPr="00B37ECC">
        <w:rPr>
          <w:szCs w:val="24"/>
          <w:lang w:val="bg-BG"/>
        </w:rPr>
        <w:t>;</w:t>
      </w:r>
    </w:p>
    <w:p w:rsidR="00633C00" w:rsidRDefault="00633C00" w:rsidP="002620AA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  <w:r w:rsidRPr="00EF71AA">
        <w:rPr>
          <w:b/>
          <w:szCs w:val="24"/>
          <w:u w:val="single"/>
          <w:lang w:val="bg-BG"/>
        </w:rPr>
        <w:t>Обособена позиция 2:</w:t>
      </w:r>
      <w:r w:rsidR="0054126E" w:rsidRPr="003203D7">
        <w:rPr>
          <w:b/>
          <w:szCs w:val="24"/>
          <w:lang w:val="en-US"/>
        </w:rPr>
        <w:t xml:space="preserve"> </w:t>
      </w:r>
      <w:r w:rsidRPr="00EF71AA">
        <w:rPr>
          <w:b/>
          <w:color w:val="000000"/>
          <w:szCs w:val="24"/>
          <w:lang w:val="bg-BG"/>
        </w:rPr>
        <w:t xml:space="preserve">Доставка на нови </w:t>
      </w:r>
      <w:r w:rsidRPr="00EF71AA">
        <w:rPr>
          <w:b/>
          <w:color w:val="000000"/>
          <w:szCs w:val="24"/>
        </w:rPr>
        <w:t>LED</w:t>
      </w:r>
      <w:r w:rsidRPr="00EF71AA">
        <w:rPr>
          <w:b/>
          <w:color w:val="000000"/>
          <w:szCs w:val="24"/>
          <w:lang w:val="bg-BG"/>
        </w:rPr>
        <w:t xml:space="preserve"> улични осветителни тела</w:t>
      </w:r>
      <w:r>
        <w:rPr>
          <w:b/>
          <w:color w:val="000000"/>
          <w:szCs w:val="24"/>
          <w:lang w:val="bg-BG"/>
        </w:rPr>
        <w:t xml:space="preserve"> - </w:t>
      </w:r>
      <w:r w:rsidRPr="00633C00">
        <w:rPr>
          <w:color w:val="000000"/>
          <w:szCs w:val="24"/>
          <w:lang w:val="bg-BG"/>
        </w:rPr>
        <w:t xml:space="preserve">Възложителят </w:t>
      </w:r>
      <w:r>
        <w:rPr>
          <w:color w:val="000000"/>
          <w:szCs w:val="24"/>
          <w:lang w:val="bg-BG"/>
        </w:rPr>
        <w:t xml:space="preserve">разделя изпълнението на </w:t>
      </w:r>
      <w:r w:rsidR="007829F5">
        <w:rPr>
          <w:color w:val="000000"/>
          <w:szCs w:val="24"/>
          <w:lang w:val="bg-BG"/>
        </w:rPr>
        <w:t>доставките на два етапа:</w:t>
      </w:r>
    </w:p>
    <w:p w:rsidR="007829F5" w:rsidRDefault="007829F5" w:rsidP="002620AA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  <w:r>
        <w:rPr>
          <w:color w:val="000000"/>
          <w:szCs w:val="24"/>
          <w:lang w:val="bg-BG"/>
        </w:rPr>
        <w:t xml:space="preserve">1-ви етап: </w:t>
      </w:r>
      <w:r>
        <w:rPr>
          <w:szCs w:val="24"/>
          <w:lang w:val="bg-BG"/>
        </w:rPr>
        <w:t>Д</w:t>
      </w:r>
      <w:r w:rsidRPr="00586633">
        <w:rPr>
          <w:szCs w:val="24"/>
          <w:lang w:val="bg-BG"/>
        </w:rPr>
        <w:t>остав</w:t>
      </w:r>
      <w:r>
        <w:rPr>
          <w:szCs w:val="24"/>
          <w:lang w:val="bg-BG"/>
        </w:rPr>
        <w:t xml:space="preserve">ка на </w:t>
      </w:r>
      <w:r w:rsidRPr="00586633">
        <w:rPr>
          <w:szCs w:val="24"/>
          <w:lang w:val="bg-BG"/>
        </w:rPr>
        <w:t xml:space="preserve">нови LED улични осветителни тела на </w:t>
      </w:r>
      <w:r w:rsidRPr="00AF4307">
        <w:rPr>
          <w:szCs w:val="24"/>
          <w:lang w:val="bg-BG"/>
        </w:rPr>
        <w:t xml:space="preserve">стойност </w:t>
      </w:r>
      <w:r w:rsidR="00AF4307" w:rsidRPr="00AF4307">
        <w:rPr>
          <w:szCs w:val="24"/>
          <w:lang w:val="bg-BG"/>
        </w:rPr>
        <w:t>6325</w:t>
      </w:r>
      <w:r w:rsidRPr="00AF4307">
        <w:rPr>
          <w:szCs w:val="24"/>
          <w:lang w:val="bg-BG"/>
        </w:rPr>
        <w:t>.00 лв</w:t>
      </w:r>
      <w:r w:rsidRPr="00586633">
        <w:rPr>
          <w:szCs w:val="24"/>
          <w:lang w:val="bg-BG"/>
        </w:rPr>
        <w:t>. с включен ДДС (</w:t>
      </w:r>
      <w:r w:rsidR="00C0380D">
        <w:rPr>
          <w:color w:val="000000"/>
          <w:szCs w:val="24"/>
          <w:lang w:val="bg-BG"/>
        </w:rPr>
        <w:t>5270.83</w:t>
      </w:r>
      <w:r w:rsidRPr="00271807">
        <w:rPr>
          <w:color w:val="000000"/>
          <w:szCs w:val="24"/>
          <w:lang w:val="bg-BG"/>
        </w:rPr>
        <w:t>лв. без вкл</w:t>
      </w:r>
      <w:r>
        <w:rPr>
          <w:color w:val="000000"/>
          <w:szCs w:val="24"/>
          <w:lang w:val="bg-BG"/>
        </w:rPr>
        <w:t>ючен</w:t>
      </w:r>
      <w:r w:rsidR="00B236BE">
        <w:rPr>
          <w:color w:val="000000"/>
          <w:szCs w:val="24"/>
          <w:lang w:val="en-US"/>
        </w:rPr>
        <w:t xml:space="preserve"> </w:t>
      </w:r>
      <w:r w:rsidRPr="00586633">
        <w:rPr>
          <w:color w:val="000000"/>
          <w:szCs w:val="24"/>
          <w:lang w:val="bg-BG"/>
        </w:rPr>
        <w:t>ДДС)</w:t>
      </w:r>
      <w:r>
        <w:rPr>
          <w:color w:val="000000"/>
          <w:szCs w:val="24"/>
          <w:lang w:val="bg-BG"/>
        </w:rPr>
        <w:t xml:space="preserve"> с</w:t>
      </w:r>
      <w:r w:rsidR="00C0380D">
        <w:rPr>
          <w:color w:val="000000"/>
          <w:szCs w:val="24"/>
          <w:lang w:val="bg-BG"/>
        </w:rPr>
        <w:t xml:space="preserve"> краен</w:t>
      </w:r>
      <w:r>
        <w:rPr>
          <w:color w:val="000000"/>
          <w:szCs w:val="24"/>
          <w:lang w:val="bg-BG"/>
        </w:rPr>
        <w:t xml:space="preserve"> срок за изпълнение 01.12.2018 год.</w:t>
      </w:r>
    </w:p>
    <w:p w:rsidR="0080772D" w:rsidRPr="0080772D" w:rsidRDefault="007829F5" w:rsidP="002620AA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en-US"/>
        </w:rPr>
      </w:pPr>
      <w:r>
        <w:rPr>
          <w:color w:val="000000"/>
          <w:szCs w:val="24"/>
          <w:lang w:val="bg-BG"/>
        </w:rPr>
        <w:t xml:space="preserve">2-ри етап: </w:t>
      </w:r>
      <w:r w:rsidR="00B44AEA">
        <w:rPr>
          <w:color w:val="000000"/>
          <w:szCs w:val="24"/>
          <w:lang w:val="bg-BG"/>
        </w:rPr>
        <w:t xml:space="preserve">Доставка на осветителни тела, рогатки и стълбове според възникналите нужди в общината </w:t>
      </w:r>
      <w:r w:rsidR="00C0380D">
        <w:rPr>
          <w:color w:val="000000"/>
          <w:szCs w:val="24"/>
          <w:lang w:val="bg-BG"/>
        </w:rPr>
        <w:t>в периода от 01.01.2019 до 31.12.2019</w:t>
      </w:r>
      <w:r w:rsidR="00AC7468">
        <w:rPr>
          <w:color w:val="000000"/>
          <w:szCs w:val="24"/>
          <w:lang w:val="bg-BG"/>
        </w:rPr>
        <w:t xml:space="preserve"> година.</w:t>
      </w:r>
    </w:p>
    <w:p w:rsidR="00217BEB" w:rsidRPr="00560A74" w:rsidRDefault="00560A74" w:rsidP="00B44AEA">
      <w:pPr>
        <w:pStyle w:val="ab"/>
        <w:numPr>
          <w:ilvl w:val="1"/>
          <w:numId w:val="4"/>
        </w:numPr>
        <w:spacing w:before="240" w:line="240" w:lineRule="auto"/>
        <w:ind w:left="964" w:hanging="397"/>
        <w:jc w:val="both"/>
        <w:rPr>
          <w:b/>
          <w:color w:val="000000"/>
          <w:szCs w:val="24"/>
          <w:lang w:val="bg-BG"/>
        </w:rPr>
      </w:pPr>
      <w:r w:rsidRPr="00560A74">
        <w:rPr>
          <w:b/>
          <w:color w:val="000000"/>
          <w:szCs w:val="24"/>
          <w:lang w:val="bg-BG"/>
        </w:rPr>
        <w:t xml:space="preserve">Описание на поръчката от Обособена позиция </w:t>
      </w:r>
      <w:r w:rsidR="00456A69" w:rsidRPr="00560A74">
        <w:rPr>
          <w:b/>
          <w:color w:val="000000"/>
          <w:szCs w:val="24"/>
          <w:lang w:val="bg-BG"/>
        </w:rPr>
        <w:t>1</w:t>
      </w:r>
    </w:p>
    <w:p w:rsidR="00310ED6" w:rsidRDefault="003F5D88" w:rsidP="002620AA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  <w:r>
        <w:rPr>
          <w:color w:val="000000"/>
          <w:szCs w:val="24"/>
          <w:lang w:val="bg-BG"/>
        </w:rPr>
        <w:t xml:space="preserve">За </w:t>
      </w:r>
      <w:r w:rsidR="00456A69">
        <w:rPr>
          <w:color w:val="000000"/>
          <w:szCs w:val="24"/>
          <w:lang w:val="bg-BG"/>
        </w:rPr>
        <w:t>обезпечаване</w:t>
      </w:r>
      <w:r>
        <w:rPr>
          <w:color w:val="000000"/>
          <w:szCs w:val="24"/>
          <w:lang w:val="bg-BG"/>
        </w:rPr>
        <w:t xml:space="preserve"> поддръжката на уличното осветление в населените места на община Добричка през 2019 ще бъдат поръчвани</w:t>
      </w:r>
      <w:r w:rsidR="00456A69">
        <w:rPr>
          <w:color w:val="000000"/>
          <w:szCs w:val="24"/>
          <w:lang w:val="bg-BG"/>
        </w:rPr>
        <w:t xml:space="preserve"> електроматериали и резервни части </w:t>
      </w:r>
      <w:r w:rsidR="00560A74">
        <w:rPr>
          <w:color w:val="000000"/>
          <w:szCs w:val="24"/>
          <w:lang w:val="bg-BG"/>
        </w:rPr>
        <w:t>в следните ориентировъчни количества:</w:t>
      </w:r>
    </w:p>
    <w:p w:rsidR="00F00E36" w:rsidRDefault="00F00E36" w:rsidP="00F00E36">
      <w:pPr>
        <w:pStyle w:val="ab"/>
        <w:spacing w:line="240" w:lineRule="auto"/>
        <w:ind w:left="0" w:firstLine="567"/>
        <w:jc w:val="right"/>
        <w:rPr>
          <w:color w:val="000000"/>
          <w:szCs w:val="24"/>
          <w:lang w:val="bg-BG"/>
        </w:rPr>
      </w:pPr>
      <w:r>
        <w:rPr>
          <w:color w:val="000000"/>
          <w:szCs w:val="24"/>
          <w:lang w:val="bg-BG"/>
        </w:rPr>
        <w:t>Таблица 1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255"/>
        <w:gridCol w:w="1284"/>
        <w:gridCol w:w="3535"/>
      </w:tblGrid>
      <w:tr w:rsidR="002A3B5D" w:rsidRPr="002620AA" w:rsidTr="00AC7468">
        <w:trPr>
          <w:trHeight w:val="542"/>
        </w:trPr>
        <w:tc>
          <w:tcPr>
            <w:tcW w:w="580" w:type="dxa"/>
            <w:shd w:val="clear" w:color="auto" w:fill="auto"/>
            <w:vAlign w:val="center"/>
            <w:hideMark/>
          </w:tcPr>
          <w:p w:rsidR="002A3B5D" w:rsidRPr="002620AA" w:rsidRDefault="002A3B5D" w:rsidP="002620AA">
            <w:pPr>
              <w:widowControl/>
              <w:suppressAutoHyphens w:val="0"/>
              <w:jc w:val="both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Поз. №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A3B5D" w:rsidRPr="002620AA" w:rsidRDefault="002A3B5D" w:rsidP="002620AA">
            <w:pPr>
              <w:widowControl/>
              <w:suppressAutoHyphens w:val="0"/>
              <w:jc w:val="both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Вид, наименование, означение, мярка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2A3B5D" w:rsidRPr="002620AA" w:rsidRDefault="002A3B5D" w:rsidP="002620AA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Прогнозно количество</w:t>
            </w:r>
          </w:p>
        </w:tc>
        <w:tc>
          <w:tcPr>
            <w:tcW w:w="3535" w:type="dxa"/>
            <w:vAlign w:val="center"/>
          </w:tcPr>
          <w:p w:rsidR="002A3B5D" w:rsidRPr="002620AA" w:rsidRDefault="002A3B5D" w:rsidP="002A3B5D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Забележка</w:t>
            </w:r>
          </w:p>
        </w:tc>
      </w:tr>
      <w:tr w:rsidR="002A3B5D" w:rsidRPr="002620AA" w:rsidTr="00AC7468">
        <w:trPr>
          <w:trHeight w:val="69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A3B5D" w:rsidRPr="002620AA" w:rsidRDefault="002A3B5D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A3B5D" w:rsidRPr="002620AA" w:rsidRDefault="002A3B5D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Енергоспестяваща луминесцентна лампа за улично осветление - 36 W/4 Р - PL - цветна температура 4000 К, 100% трифосфор, светлинен добив минимум 2900 lm, енергиен клас А, живот на лампата </w:t>
            </w:r>
            <w:r w:rsidRPr="002620AA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2620AA">
              <w:rPr>
                <w:color w:val="000000"/>
                <w:sz w:val="22"/>
                <w:szCs w:val="22"/>
              </w:rPr>
              <w:t>минимум 10000 h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A3B5D" w:rsidRPr="002620AA" w:rsidRDefault="002A3B5D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1000 бр.</w:t>
            </w:r>
          </w:p>
        </w:tc>
        <w:tc>
          <w:tcPr>
            <w:tcW w:w="3535" w:type="dxa"/>
            <w:vAlign w:val="center"/>
          </w:tcPr>
          <w:p w:rsidR="002A3B5D" w:rsidRPr="00491EF5" w:rsidRDefault="00BE6A70" w:rsidP="00491EF5">
            <w:pPr>
              <w:jc w:val="both"/>
              <w:rPr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</w:t>
            </w:r>
            <w:r w:rsidR="00B236B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91EF5" w:rsidRPr="00491EF5">
              <w:rPr>
                <w:color w:val="000000"/>
                <w:sz w:val="22"/>
                <w:szCs w:val="22"/>
              </w:rPr>
              <w:t>към ценовото предложение на участниците</w:t>
            </w:r>
            <w:r w:rsidR="00B236B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D276FE" w:rsidRPr="00491EF5">
              <w:rPr>
                <w:sz w:val="22"/>
                <w:szCs w:val="22"/>
              </w:rPr>
              <w:t xml:space="preserve">да се приложи документ (сертификат), удостоверяващ съответствието на техническите характеристики на артикула с </w:t>
            </w:r>
            <w:r w:rsidRPr="00491EF5">
              <w:rPr>
                <w:sz w:val="22"/>
                <w:szCs w:val="22"/>
              </w:rPr>
              <w:t>изискванията на Възложителя</w:t>
            </w:r>
          </w:p>
        </w:tc>
      </w:tr>
      <w:tr w:rsidR="00491EF5" w:rsidRPr="002620AA" w:rsidTr="00AC7468">
        <w:trPr>
          <w:trHeight w:val="78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491EF5" w:rsidRPr="002620AA" w:rsidRDefault="00491EF5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491EF5" w:rsidRPr="002620AA" w:rsidRDefault="00491EF5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Енергоспестяваща луминесцентна лампа за улично осветление - 18 W/2 Р- PL</w:t>
            </w:r>
            <w:r w:rsidRPr="002620AA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2620AA">
              <w:rPr>
                <w:color w:val="000000"/>
                <w:sz w:val="22"/>
                <w:szCs w:val="22"/>
              </w:rPr>
              <w:t>C - цветна температура 4000К, 100% трифосфор, светлинен добив - минимум 1200 lm, енергиен клас - мин. В, живот на лампата - минимум 10000 h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491EF5" w:rsidRPr="002620AA" w:rsidRDefault="00491EF5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300 бр.</w:t>
            </w:r>
          </w:p>
        </w:tc>
        <w:tc>
          <w:tcPr>
            <w:tcW w:w="3535" w:type="dxa"/>
            <w:vAlign w:val="center"/>
          </w:tcPr>
          <w:p w:rsidR="00491EF5" w:rsidRPr="00491EF5" w:rsidRDefault="00491EF5" w:rsidP="0077065C">
            <w:pPr>
              <w:jc w:val="both"/>
              <w:rPr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 към ценовото предложение на участниците</w:t>
            </w:r>
            <w:r w:rsidR="00B236B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sz w:val="22"/>
                <w:szCs w:val="22"/>
              </w:rPr>
              <w:t>да се приложи документ (сертификат), удостоверяващ съответствието на техническите характеристики на артикула с изискванията на Възложителя</w:t>
            </w:r>
          </w:p>
        </w:tc>
      </w:tr>
      <w:tr w:rsidR="00491EF5" w:rsidRPr="002620AA" w:rsidTr="00AC7468">
        <w:trPr>
          <w:trHeight w:val="8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491EF5" w:rsidRPr="002620AA" w:rsidRDefault="00491EF5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491EF5" w:rsidRPr="002620AA" w:rsidRDefault="00491EF5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Енергоспестяваща</w:t>
            </w:r>
            <w:r w:rsidR="00C178DB">
              <w:rPr>
                <w:color w:val="000000"/>
                <w:sz w:val="22"/>
                <w:szCs w:val="22"/>
              </w:rPr>
              <w:t xml:space="preserve"> лампа 20 HLX / E-27 спирала – </w:t>
            </w:r>
            <w:r w:rsidRPr="002620AA">
              <w:rPr>
                <w:color w:val="000000"/>
                <w:sz w:val="22"/>
                <w:szCs w:val="22"/>
              </w:rPr>
              <w:t xml:space="preserve">цветна температура 4000К, 100% трифосфор, светлинен добив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2620AA">
              <w:rPr>
                <w:color w:val="000000"/>
                <w:sz w:val="22"/>
                <w:szCs w:val="22"/>
              </w:rPr>
              <w:t xml:space="preserve">минимум1200 lm,живот на лампата - </w:t>
            </w:r>
            <w:r w:rsidRPr="002620AA">
              <w:rPr>
                <w:color w:val="000000"/>
                <w:sz w:val="22"/>
                <w:szCs w:val="22"/>
              </w:rPr>
              <w:lastRenderedPageBreak/>
              <w:t>минимум 10000 h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491EF5" w:rsidRPr="002620AA" w:rsidRDefault="00491EF5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lastRenderedPageBreak/>
              <w:t>50 бр.</w:t>
            </w:r>
          </w:p>
        </w:tc>
        <w:tc>
          <w:tcPr>
            <w:tcW w:w="3535" w:type="dxa"/>
            <w:vAlign w:val="center"/>
          </w:tcPr>
          <w:p w:rsidR="00491EF5" w:rsidRPr="00491EF5" w:rsidRDefault="00491EF5" w:rsidP="0077065C">
            <w:pPr>
              <w:jc w:val="both"/>
              <w:rPr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 към ценовото предложение на участниците</w:t>
            </w:r>
            <w:r w:rsidR="00B236B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sz w:val="22"/>
                <w:szCs w:val="22"/>
              </w:rPr>
              <w:t xml:space="preserve">да се приложи документ (сертификат), удостоверяващ съответствието на </w:t>
            </w:r>
            <w:r w:rsidRPr="00491EF5">
              <w:rPr>
                <w:sz w:val="22"/>
                <w:szCs w:val="22"/>
              </w:rPr>
              <w:lastRenderedPageBreak/>
              <w:t>техническите характеристики на артикула с изискванията на Възложителя</w:t>
            </w:r>
          </w:p>
        </w:tc>
      </w:tr>
      <w:tr w:rsidR="00700503" w:rsidRPr="002620AA" w:rsidTr="00AC746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00503" w:rsidRPr="002620AA" w:rsidRDefault="0070050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700503" w:rsidRPr="002620AA" w:rsidRDefault="0070050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LED лампа 10W/4000K/E27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00503" w:rsidRPr="002620AA" w:rsidRDefault="00700503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50 бр.</w:t>
            </w:r>
          </w:p>
        </w:tc>
        <w:tc>
          <w:tcPr>
            <w:tcW w:w="3535" w:type="dxa"/>
            <w:vMerge w:val="restart"/>
            <w:vAlign w:val="center"/>
          </w:tcPr>
          <w:p w:rsidR="00700503" w:rsidRPr="002620AA" w:rsidRDefault="00700503" w:rsidP="00C819E4">
            <w:pPr>
              <w:widowControl/>
              <w:suppressAutoHyphens w:val="0"/>
              <w:rPr>
                <w:color w:val="000000"/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 към ценовото предложение на участниците</w:t>
            </w:r>
            <w:r w:rsidR="00B236B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sz w:val="22"/>
                <w:szCs w:val="22"/>
              </w:rPr>
              <w:t>да се приложи документ (сертификат), удостоверяващ съответствието на техническите характеристики на артикула с изискванията на Възложителя</w:t>
            </w:r>
          </w:p>
        </w:tc>
      </w:tr>
      <w:tr w:rsidR="00700503" w:rsidRPr="002620AA" w:rsidTr="00AC7468">
        <w:trPr>
          <w:trHeight w:val="26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00503" w:rsidRPr="002620AA" w:rsidRDefault="0070050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700503" w:rsidRPr="002620AA" w:rsidRDefault="0070050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LED лампа MCOB - 10W/6500K/E27/1200 lm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00503" w:rsidRPr="002620AA" w:rsidRDefault="00700503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50 бр.</w:t>
            </w:r>
          </w:p>
        </w:tc>
        <w:tc>
          <w:tcPr>
            <w:tcW w:w="3535" w:type="dxa"/>
            <w:vMerge/>
            <w:vAlign w:val="center"/>
          </w:tcPr>
          <w:p w:rsidR="00700503" w:rsidRPr="002620AA" w:rsidRDefault="00700503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700503" w:rsidRPr="002620AA" w:rsidTr="00AC746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00503" w:rsidRPr="002620AA" w:rsidRDefault="0070050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700503" w:rsidRPr="002620AA" w:rsidRDefault="0070050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LED лампа 30W / 6000K/E27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00503" w:rsidRPr="002620AA" w:rsidRDefault="00700503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50 бр.</w:t>
            </w:r>
          </w:p>
        </w:tc>
        <w:tc>
          <w:tcPr>
            <w:tcW w:w="3535" w:type="dxa"/>
            <w:vMerge/>
            <w:vAlign w:val="center"/>
          </w:tcPr>
          <w:p w:rsidR="00700503" w:rsidRPr="002620AA" w:rsidRDefault="00700503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700503" w:rsidRPr="002620AA" w:rsidTr="00AC746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00503" w:rsidRPr="002620AA" w:rsidRDefault="0070050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700503" w:rsidRPr="002620AA" w:rsidRDefault="0070050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LED лампа PLL 21W / 4000K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00503" w:rsidRPr="002620AA" w:rsidRDefault="00700503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50 бр.</w:t>
            </w:r>
          </w:p>
        </w:tc>
        <w:tc>
          <w:tcPr>
            <w:tcW w:w="3535" w:type="dxa"/>
            <w:vMerge/>
            <w:vAlign w:val="center"/>
          </w:tcPr>
          <w:p w:rsidR="00700503" w:rsidRPr="002620AA" w:rsidRDefault="00700503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491EF5" w:rsidRPr="002620AA" w:rsidTr="00AC7468">
        <w:trPr>
          <w:trHeight w:val="20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491EF5" w:rsidRPr="002620AA" w:rsidRDefault="00491EF5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491EF5" w:rsidRPr="002620AA" w:rsidRDefault="00491EF5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Дросел – 36W / 230V - електромагнитен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491EF5" w:rsidRPr="002620AA" w:rsidRDefault="00491EF5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150 бр.</w:t>
            </w:r>
          </w:p>
        </w:tc>
        <w:tc>
          <w:tcPr>
            <w:tcW w:w="3535" w:type="dxa"/>
            <w:vAlign w:val="center"/>
          </w:tcPr>
          <w:p w:rsidR="00491EF5" w:rsidRPr="00650A44" w:rsidRDefault="00650A44" w:rsidP="00650A44">
            <w:pPr>
              <w:widowControl/>
              <w:suppressAutoHyphens w:val="0"/>
              <w:rPr>
                <w:szCs w:val="22"/>
              </w:rPr>
            </w:pPr>
            <w:r w:rsidRPr="00650A44">
              <w:rPr>
                <w:sz w:val="22"/>
                <w:szCs w:val="22"/>
              </w:rPr>
              <w:t>З</w:t>
            </w:r>
            <w:r w:rsidR="00550D1E" w:rsidRPr="00650A44">
              <w:rPr>
                <w:sz w:val="22"/>
                <w:szCs w:val="22"/>
              </w:rPr>
              <w:t xml:space="preserve">а да се установи съответствие с техническите спецификации </w:t>
            </w:r>
            <w:r w:rsidRPr="00650A44">
              <w:rPr>
                <w:sz w:val="22"/>
                <w:szCs w:val="22"/>
              </w:rPr>
              <w:t>се и</w:t>
            </w:r>
            <w:r w:rsidR="00550D1E" w:rsidRPr="00650A44">
              <w:rPr>
                <w:sz w:val="22"/>
                <w:szCs w:val="22"/>
              </w:rPr>
              <w:t>зисква</w:t>
            </w:r>
            <w:r>
              <w:rPr>
                <w:sz w:val="22"/>
                <w:szCs w:val="22"/>
              </w:rPr>
              <w:t xml:space="preserve"> предоставянето на</w:t>
            </w:r>
            <w:r w:rsidR="00550D1E" w:rsidRPr="00650A44">
              <w:rPr>
                <w:sz w:val="22"/>
                <w:szCs w:val="22"/>
              </w:rPr>
              <w:t xml:space="preserve"> мостра</w:t>
            </w:r>
          </w:p>
        </w:tc>
      </w:tr>
      <w:tr w:rsidR="002E342E" w:rsidRPr="002620AA" w:rsidTr="00AC7468">
        <w:trPr>
          <w:trHeight w:val="23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Дросел – 18 W / 230V - електромагнитен, с къса планка, размери 85 х 40 mm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100 бр.</w:t>
            </w:r>
          </w:p>
        </w:tc>
        <w:tc>
          <w:tcPr>
            <w:tcW w:w="3535" w:type="dxa"/>
            <w:vAlign w:val="center"/>
          </w:tcPr>
          <w:p w:rsidR="002E342E" w:rsidRPr="00650A44" w:rsidRDefault="002E342E" w:rsidP="0077065C">
            <w:pPr>
              <w:widowControl/>
              <w:suppressAutoHyphens w:val="0"/>
              <w:rPr>
                <w:szCs w:val="22"/>
              </w:rPr>
            </w:pPr>
            <w:r w:rsidRPr="00650A44">
              <w:rPr>
                <w:sz w:val="22"/>
                <w:szCs w:val="22"/>
              </w:rPr>
              <w:t>За да се установи съответствие с техническите спецификации се изисква</w:t>
            </w:r>
            <w:r>
              <w:rPr>
                <w:sz w:val="22"/>
                <w:szCs w:val="22"/>
              </w:rPr>
              <w:t xml:space="preserve"> предоставянето на</w:t>
            </w:r>
            <w:r w:rsidRPr="00650A44">
              <w:rPr>
                <w:sz w:val="22"/>
                <w:szCs w:val="22"/>
              </w:rPr>
              <w:t xml:space="preserve"> мостра</w:t>
            </w:r>
          </w:p>
        </w:tc>
      </w:tr>
      <w:tr w:rsidR="002E342E" w:rsidRPr="002620AA" w:rsidTr="00AC7468">
        <w:trPr>
          <w:trHeight w:val="38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435B18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Куплунг за </w:t>
            </w:r>
            <w:r>
              <w:rPr>
                <w:color w:val="000000"/>
                <w:sz w:val="22"/>
                <w:szCs w:val="22"/>
              </w:rPr>
              <w:t>енергоспестяваща</w:t>
            </w:r>
            <w:r w:rsidRPr="002620AA">
              <w:rPr>
                <w:color w:val="000000"/>
                <w:sz w:val="22"/>
                <w:szCs w:val="22"/>
              </w:rPr>
              <w:t xml:space="preserve"> луминесцентна лампа за улично осветление - PL 36 W/4 Р 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50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57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Куплунг </w:t>
            </w:r>
            <w:r w:rsidRPr="002620AA">
              <w:rPr>
                <w:color w:val="000000"/>
                <w:sz w:val="22"/>
                <w:szCs w:val="22"/>
              </w:rPr>
              <w:t xml:space="preserve">за енергоспестяваща луминесцентна лампа за улично осветление- PL 18 W/2 Р 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50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28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Куплунг за стартер 36 W – ВИМ57 – 2/250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30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Стартер 4-65 W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1200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39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435B18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Часовник електронен, двойнотарифен  (температура от -25 до +55 </w:t>
            </w:r>
            <w:r w:rsidRPr="00435B18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2620AA"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15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  <w:r w:rsidRPr="00650A44">
              <w:rPr>
                <w:sz w:val="22"/>
                <w:szCs w:val="22"/>
              </w:rPr>
              <w:t>За да се установи съответствие с техническите спецификации се изисква</w:t>
            </w:r>
            <w:r>
              <w:rPr>
                <w:sz w:val="22"/>
                <w:szCs w:val="22"/>
              </w:rPr>
              <w:t xml:space="preserve"> предоставянето на</w:t>
            </w:r>
            <w:r w:rsidRPr="00650A44">
              <w:rPr>
                <w:sz w:val="22"/>
                <w:szCs w:val="22"/>
              </w:rPr>
              <w:t xml:space="preserve"> мостра</w:t>
            </w:r>
          </w:p>
        </w:tc>
      </w:tr>
      <w:tr w:rsidR="002E342E" w:rsidRPr="002620AA" w:rsidTr="00AC7468">
        <w:trPr>
          <w:trHeight w:val="41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435B18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Часовник механичен, двойнотарифен (температура от -25 до +55 </w:t>
            </w:r>
            <w:r w:rsidRPr="00435B18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2620AA"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45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  <w:r w:rsidRPr="00650A44">
              <w:rPr>
                <w:sz w:val="22"/>
                <w:szCs w:val="22"/>
              </w:rPr>
              <w:t>За да се установи съответствие с техническите спецификации се изисква</w:t>
            </w:r>
            <w:r>
              <w:rPr>
                <w:sz w:val="22"/>
                <w:szCs w:val="22"/>
              </w:rPr>
              <w:t xml:space="preserve"> предоставянето на</w:t>
            </w:r>
            <w:r w:rsidRPr="00650A44">
              <w:rPr>
                <w:sz w:val="22"/>
                <w:szCs w:val="22"/>
              </w:rPr>
              <w:t xml:space="preserve"> мостра</w:t>
            </w:r>
          </w:p>
        </w:tc>
      </w:tr>
      <w:tr w:rsidR="002E342E" w:rsidRPr="002620AA" w:rsidTr="00AC7468">
        <w:trPr>
          <w:trHeight w:val="559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0E7BA4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Контактор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2620AA">
              <w:rPr>
                <w:color w:val="000000"/>
                <w:sz w:val="22"/>
                <w:szCs w:val="22"/>
              </w:rPr>
              <w:t xml:space="preserve"> Ie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620AA">
              <w:rPr>
                <w:color w:val="000000"/>
                <w:sz w:val="22"/>
                <w:szCs w:val="22"/>
              </w:rPr>
              <w:t>25A, Uе</w:t>
            </w:r>
            <w:r>
              <w:rPr>
                <w:color w:val="000000"/>
                <w:sz w:val="22"/>
                <w:szCs w:val="22"/>
              </w:rPr>
              <w:t>:</w:t>
            </w:r>
            <w:r w:rsidRPr="002620AA">
              <w:rPr>
                <w:color w:val="000000"/>
                <w:sz w:val="22"/>
                <w:szCs w:val="22"/>
              </w:rPr>
              <w:t xml:space="preserve"> 400V, Uб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620AA">
              <w:rPr>
                <w:color w:val="000000"/>
                <w:sz w:val="22"/>
                <w:szCs w:val="22"/>
              </w:rPr>
              <w:t>230V, 50Hz, вградени помощни контакти: 1 N/O; 1 N/C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10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 към ценовото предложение на участниците</w:t>
            </w:r>
            <w:r w:rsidR="00B236B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sz w:val="22"/>
                <w:szCs w:val="22"/>
              </w:rPr>
              <w:t>да се приложи документ (сертификат), удостоверяващ съответствието на техническите характеристики на артикула с изискванията на Възложителя</w:t>
            </w:r>
          </w:p>
        </w:tc>
      </w:tr>
      <w:tr w:rsidR="002E342E" w:rsidRPr="002620AA" w:rsidTr="00AC7468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E342E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E342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E342E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E342E">
              <w:rPr>
                <w:color w:val="000000"/>
                <w:sz w:val="22"/>
                <w:szCs w:val="22"/>
              </w:rPr>
              <w:t>Фасунга (керамична) с планка - Е27 / 250V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E342E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E342E">
              <w:rPr>
                <w:color w:val="000000"/>
                <w:sz w:val="22"/>
                <w:szCs w:val="22"/>
              </w:rPr>
              <w:t>50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76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Автоматичен прекъсвач – 1P, 6A, крива C, 6kA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10 бр.</w:t>
            </w:r>
          </w:p>
        </w:tc>
        <w:tc>
          <w:tcPr>
            <w:tcW w:w="3535" w:type="dxa"/>
            <w:vMerge w:val="restart"/>
            <w:vAlign w:val="center"/>
          </w:tcPr>
          <w:p w:rsidR="002E342E" w:rsidRPr="002620AA" w:rsidRDefault="002E342E" w:rsidP="0077065C">
            <w:pPr>
              <w:widowControl/>
              <w:suppressAutoHyphens w:val="0"/>
              <w:rPr>
                <w:color w:val="000000"/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 към ценовото предложение на участниците</w:t>
            </w:r>
            <w:r w:rsidR="00B236B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sz w:val="22"/>
                <w:szCs w:val="22"/>
              </w:rPr>
              <w:t>да се приложи документ (сертификат), удостоверяващ съответствието на техническите характеристики на артикула с изискванията на Възложителя</w:t>
            </w:r>
          </w:p>
        </w:tc>
      </w:tr>
      <w:tr w:rsidR="002E342E" w:rsidRPr="002620AA" w:rsidTr="00AC7468">
        <w:trPr>
          <w:trHeight w:val="98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Автоматичен прекъсвач – 1P, 25A, крива C, 6kA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20 бр.</w:t>
            </w:r>
          </w:p>
        </w:tc>
        <w:tc>
          <w:tcPr>
            <w:tcW w:w="3535" w:type="dxa"/>
            <w:vMerge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28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Биметална клема (мед-алуминий) 25/16 mm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300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Токова клема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30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Проводник – 1 х 1mm</w:t>
            </w:r>
            <w:r w:rsidRPr="002620AA">
              <w:rPr>
                <w:color w:val="000000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100 m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36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Рекордоман 6 mm</w:t>
            </w:r>
            <w:r w:rsidRPr="002620AA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300 m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36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СВТ кабел – 2х1,5 mm</w:t>
            </w:r>
            <w:r w:rsidRPr="002620AA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250 m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3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Лустер клема – 6mm</w:t>
            </w:r>
            <w:r w:rsidRPr="002620AA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2620AA">
              <w:rPr>
                <w:color w:val="000000"/>
                <w:sz w:val="22"/>
                <w:szCs w:val="22"/>
              </w:rPr>
              <w:t>/380 V – 12 бр. на ред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50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27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Изолационна PVC изолираща „Шведска” лента – 15 mm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15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26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Усукан изолиран проводник УИП (френски) 2х16 AL/R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700 m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Отклонителна клема за УИП 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10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24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Опъвателна клема регулираща за УИП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20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E342E" w:rsidRPr="002620AA" w:rsidTr="00AC746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Носеща клема за УИП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E342E" w:rsidRPr="002620AA" w:rsidRDefault="002E342E" w:rsidP="002620A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10 бр.</w:t>
            </w:r>
          </w:p>
        </w:tc>
        <w:tc>
          <w:tcPr>
            <w:tcW w:w="3535" w:type="dxa"/>
            <w:vAlign w:val="center"/>
          </w:tcPr>
          <w:p w:rsidR="002E342E" w:rsidRPr="002620AA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</w:tbl>
    <w:p w:rsidR="00135FE3" w:rsidRDefault="00B96C13" w:rsidP="002620AA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  <w:r>
        <w:rPr>
          <w:color w:val="000000"/>
          <w:szCs w:val="24"/>
          <w:lang w:val="bg-BG"/>
        </w:rPr>
        <w:t>По</w:t>
      </w:r>
      <w:r w:rsidR="009A4C32">
        <w:rPr>
          <w:color w:val="000000"/>
          <w:szCs w:val="24"/>
          <w:lang w:val="bg-BG"/>
        </w:rPr>
        <w:t>сочените</w:t>
      </w:r>
      <w:r>
        <w:rPr>
          <w:color w:val="000000"/>
          <w:szCs w:val="24"/>
          <w:lang w:val="bg-BG"/>
        </w:rPr>
        <w:t xml:space="preserve"> в таблицата количества са прогнозни </w:t>
      </w:r>
      <w:r w:rsidR="001F6C78">
        <w:rPr>
          <w:color w:val="000000"/>
          <w:szCs w:val="24"/>
          <w:lang w:val="bg-BG"/>
        </w:rPr>
        <w:t>и не са задължителни. Възложителят ще поръчва електроматериали и резервни части според възникналите нужди за поддържане на уличното осветление в техническа изправност</w:t>
      </w:r>
      <w:r w:rsidR="007105D9">
        <w:rPr>
          <w:color w:val="000000"/>
          <w:szCs w:val="24"/>
          <w:lang w:val="bg-BG"/>
        </w:rPr>
        <w:t xml:space="preserve"> до 31.12.2019г. или до изчерпване на осигурения финансов ресурс от 15 000.00 лв. без включен ДДС (18 000</w:t>
      </w:r>
      <w:r w:rsidR="001F6C78">
        <w:rPr>
          <w:color w:val="000000"/>
          <w:szCs w:val="24"/>
          <w:lang w:val="bg-BG"/>
        </w:rPr>
        <w:t>.</w:t>
      </w:r>
      <w:r w:rsidR="007105D9">
        <w:rPr>
          <w:color w:val="000000"/>
          <w:szCs w:val="24"/>
          <w:lang w:val="bg-BG"/>
        </w:rPr>
        <w:t>00 лв. с ДДС).</w:t>
      </w:r>
    </w:p>
    <w:p w:rsidR="00560A74" w:rsidRDefault="00B96C13" w:rsidP="002620AA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  <w:r>
        <w:rPr>
          <w:color w:val="000000"/>
          <w:szCs w:val="24"/>
          <w:lang w:val="bg-BG"/>
        </w:rPr>
        <w:t xml:space="preserve">С цел отстраняване на непредвидени аварии по уличното осветление, </w:t>
      </w:r>
      <w:r w:rsidR="00560A74">
        <w:rPr>
          <w:color w:val="000000"/>
          <w:szCs w:val="24"/>
          <w:lang w:val="bg-BG"/>
        </w:rPr>
        <w:t>Възложителят си запазва правото да заявява електроматериали</w:t>
      </w:r>
      <w:r w:rsidR="00B236BE">
        <w:rPr>
          <w:color w:val="000000"/>
          <w:szCs w:val="24"/>
          <w:lang w:val="en-US"/>
        </w:rPr>
        <w:t xml:space="preserve"> </w:t>
      </w:r>
      <w:r w:rsidR="00D72C33">
        <w:rPr>
          <w:color w:val="000000"/>
          <w:szCs w:val="24"/>
          <w:lang w:val="bg-BG"/>
        </w:rPr>
        <w:t>и резервни части</w:t>
      </w:r>
      <w:r w:rsidR="00560A74">
        <w:rPr>
          <w:color w:val="000000"/>
          <w:szCs w:val="24"/>
          <w:lang w:val="bg-BG"/>
        </w:rPr>
        <w:t>, които не са включени в Техническата спецификация или са включени поименно, но са с различни от описаните технически характеристики.</w:t>
      </w:r>
    </w:p>
    <w:p w:rsidR="007F3E99" w:rsidRPr="001B6BC0" w:rsidRDefault="007F3E99" w:rsidP="00BF29F0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  <w:r w:rsidRPr="00AC7468">
        <w:rPr>
          <w:bCs/>
          <w:color w:val="000000"/>
          <w:szCs w:val="24"/>
          <w:lang w:val="bg-BG"/>
        </w:rPr>
        <w:t xml:space="preserve">За доставката на заявените </w:t>
      </w:r>
      <w:r w:rsidRPr="00AC7468">
        <w:rPr>
          <w:color w:val="000000"/>
          <w:szCs w:val="24"/>
          <w:lang w:val="bg-BG"/>
        </w:rPr>
        <w:t>електроматериали и резервни части, които не са включени в Техническата спецификация или са включени поименно, но са с различни от описаните технически характеристики Участникът предлага единични цени като приложи попълнен файл:</w:t>
      </w:r>
      <w:r w:rsidRPr="00AC7468">
        <w:rPr>
          <w:i/>
          <w:lang w:val="bg-BG"/>
        </w:rPr>
        <w:t>ІII. Образец 2.1_Ценова таблица.xls</w:t>
      </w:r>
      <w:r w:rsidRPr="00AC7468">
        <w:rPr>
          <w:lang w:val="bg-BG"/>
        </w:rPr>
        <w:t xml:space="preserve"> или фирмен каталог /ценоразпис/ с поместени единични цени и предлагана отстъпка.</w:t>
      </w:r>
    </w:p>
    <w:p w:rsidR="00A53C94" w:rsidRDefault="00650A44" w:rsidP="00E2113E">
      <w:pPr>
        <w:ind w:firstLine="708"/>
        <w:jc w:val="both"/>
      </w:pPr>
      <w:r>
        <w:rPr>
          <w:rFonts w:eastAsia="Calibri"/>
          <w:color w:val="000000"/>
          <w:szCs w:val="24"/>
          <w:lang w:eastAsia="en-US"/>
        </w:rPr>
        <w:t>З</w:t>
      </w:r>
      <w:r w:rsidRPr="00650A44">
        <w:rPr>
          <w:rFonts w:eastAsia="Calibri"/>
          <w:color w:val="000000"/>
          <w:szCs w:val="24"/>
          <w:lang w:eastAsia="en-US"/>
        </w:rPr>
        <w:t>а да се установи съответствие с техническите спецификации</w:t>
      </w:r>
      <w:r>
        <w:rPr>
          <w:rFonts w:eastAsia="Calibri"/>
          <w:color w:val="000000"/>
          <w:szCs w:val="24"/>
          <w:lang w:eastAsia="en-US"/>
        </w:rPr>
        <w:t xml:space="preserve"> на</w:t>
      </w:r>
      <w:r w:rsidR="0001416D">
        <w:rPr>
          <w:rFonts w:eastAsia="Calibri"/>
          <w:color w:val="000000"/>
          <w:szCs w:val="24"/>
          <w:lang w:eastAsia="en-US"/>
        </w:rPr>
        <w:t xml:space="preserve"> част от</w:t>
      </w:r>
      <w:r>
        <w:rPr>
          <w:rFonts w:eastAsia="Calibri"/>
          <w:color w:val="000000"/>
          <w:szCs w:val="24"/>
          <w:lang w:eastAsia="en-US"/>
        </w:rPr>
        <w:t xml:space="preserve"> артикулите, Възложителят изисква предоставянето на мостри</w:t>
      </w:r>
      <w:r w:rsidR="0001416D">
        <w:rPr>
          <w:rFonts w:eastAsia="Calibri"/>
          <w:color w:val="000000"/>
          <w:szCs w:val="24"/>
          <w:lang w:eastAsia="en-US"/>
        </w:rPr>
        <w:t>.</w:t>
      </w:r>
      <w:r w:rsidR="009A4C32">
        <w:t>При разглеждане на предложението, представители на Възложителя ще извършат оглед на предоставените мостри, което</w:t>
      </w:r>
      <w:r w:rsidR="00B236BE">
        <w:rPr>
          <w:lang w:val="en-US"/>
        </w:rPr>
        <w:t xml:space="preserve"> </w:t>
      </w:r>
      <w:r w:rsidR="009A4C32">
        <w:t>няма да доведе до</w:t>
      </w:r>
      <w:r w:rsidR="00B236BE">
        <w:rPr>
          <w:lang w:val="en-US"/>
        </w:rPr>
        <w:t xml:space="preserve"> </w:t>
      </w:r>
      <w:r w:rsidR="009A4C32">
        <w:t xml:space="preserve">нарушаване </w:t>
      </w:r>
      <w:r w:rsidR="00CC208C">
        <w:t>целостта</w:t>
      </w:r>
      <w:r w:rsidR="009A4C32">
        <w:t xml:space="preserve"> на мострите. При огледа няма да се разопаковат опаковките на свързващите елементи (винтове, планки и др.)</w:t>
      </w:r>
      <w:r w:rsidR="00016CB0">
        <w:t>.</w:t>
      </w:r>
      <w:r w:rsidR="00B236BE">
        <w:rPr>
          <w:lang w:val="en-US"/>
        </w:rPr>
        <w:t xml:space="preserve"> </w:t>
      </w:r>
      <w:r w:rsidR="00BD7674">
        <w:t>Приетите мостри ще бъдат върнати на участниците на посочен от тях адрес в срок от 10 (</w:t>
      </w:r>
      <w:r w:rsidR="00BD7674" w:rsidRPr="00BD7674">
        <w:rPr>
          <w:i/>
        </w:rPr>
        <w:t>десет</w:t>
      </w:r>
      <w:r w:rsidR="00BD7674">
        <w:t xml:space="preserve">) дни </w:t>
      </w:r>
      <w:r w:rsidR="004D6EDB">
        <w:t>след</w:t>
      </w:r>
      <w:r w:rsidR="00BD7674">
        <w:t xml:space="preserve"> подписване на договора за доставка. </w:t>
      </w:r>
      <w:r w:rsidR="009A4C32">
        <w:t>При положение, че при огледа се наруши ц</w:t>
      </w:r>
      <w:r w:rsidR="00CC208C">
        <w:t>е</w:t>
      </w:r>
      <w:r w:rsidR="009A4C32">
        <w:t xml:space="preserve">лостта на някоя от предоставените мостри, Възложителят ще заплати на участника стойността на мострата по предложената единична цена </w:t>
      </w:r>
      <w:r w:rsidR="0082773B" w:rsidRPr="00AA316B">
        <w:t>на посочена от него банкова сметка</w:t>
      </w:r>
      <w:r w:rsidR="00A53C94">
        <w:t>.</w:t>
      </w:r>
    </w:p>
    <w:p w:rsidR="00413558" w:rsidRPr="00413558" w:rsidRDefault="00413558" w:rsidP="0030393C">
      <w:pPr>
        <w:ind w:firstLine="708"/>
        <w:jc w:val="both"/>
        <w:rPr>
          <w:highlight w:val="yellow"/>
        </w:rPr>
      </w:pPr>
      <w:r>
        <w:rPr>
          <w:color w:val="000000"/>
        </w:rPr>
        <w:t>Представените мостри трябва да са обозначени по начин, от който да е видно на кое предложение отговарят.</w:t>
      </w:r>
    </w:p>
    <w:p w:rsidR="0030393C" w:rsidRDefault="00E2113E" w:rsidP="0030393C">
      <w:pPr>
        <w:ind w:firstLine="708"/>
        <w:jc w:val="both"/>
      </w:pPr>
      <w:r w:rsidRPr="00BC0577">
        <w:t>При откриване на транспортни дефекти, мострите се връщат на участника. Участникът има право в 5 (</w:t>
      </w:r>
      <w:r w:rsidRPr="00BC0577">
        <w:rPr>
          <w:i/>
        </w:rPr>
        <w:t>пет</w:t>
      </w:r>
      <w:r w:rsidRPr="00BC0577">
        <w:t xml:space="preserve">) дневен срок </w:t>
      </w:r>
      <w:r w:rsidR="0030393C" w:rsidRPr="00BC0577">
        <w:t xml:space="preserve">от връщането на пратката </w:t>
      </w:r>
      <w:r w:rsidRPr="00BC0577">
        <w:t>да предостави нови мостри</w:t>
      </w:r>
      <w:r w:rsidR="0030393C" w:rsidRPr="00BC0577">
        <w:t xml:space="preserve"> за участието си в процедурата по възлагането на обществената поръчка. В случай, че и вторите мостри пристигнат с нарушена цялост, пратката се връща на участника и направеното от него предложение не се разглежда.</w:t>
      </w:r>
    </w:p>
    <w:p w:rsidR="006A1D36" w:rsidRDefault="006A1D36" w:rsidP="009A4C32">
      <w:pPr>
        <w:ind w:firstLine="708"/>
        <w:jc w:val="both"/>
      </w:pPr>
      <w:r w:rsidRPr="00AA316B">
        <w:t>Възложителят ще задържи мострата на участника, избран за Изпълнител на поръчката до края на сключения договор</w:t>
      </w:r>
      <w:r w:rsidR="00AA316B">
        <w:t>.</w:t>
      </w:r>
    </w:p>
    <w:p w:rsidR="00916BDB" w:rsidRDefault="00916BDB" w:rsidP="002620AA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</w:p>
    <w:p w:rsidR="00916BDB" w:rsidRPr="00916BDB" w:rsidRDefault="003203D7" w:rsidP="00916BDB">
      <w:pPr>
        <w:pStyle w:val="ab"/>
        <w:numPr>
          <w:ilvl w:val="1"/>
          <w:numId w:val="4"/>
        </w:numPr>
        <w:spacing w:before="240" w:line="240" w:lineRule="auto"/>
        <w:jc w:val="both"/>
        <w:rPr>
          <w:color w:val="000000"/>
          <w:szCs w:val="24"/>
          <w:lang w:val="bg-BG"/>
        </w:rPr>
      </w:pPr>
      <w:r>
        <w:rPr>
          <w:b/>
          <w:color w:val="000000"/>
          <w:szCs w:val="24"/>
          <w:lang w:val="bg-BG"/>
        </w:rPr>
        <w:t xml:space="preserve"> </w:t>
      </w:r>
      <w:r w:rsidR="00823F68" w:rsidRPr="00560A74">
        <w:rPr>
          <w:b/>
          <w:color w:val="000000"/>
          <w:szCs w:val="24"/>
          <w:lang w:val="bg-BG"/>
        </w:rPr>
        <w:t>Описание на поръчката от Обособена позиция</w:t>
      </w:r>
      <w:r w:rsidR="00823F68">
        <w:rPr>
          <w:b/>
          <w:color w:val="000000"/>
          <w:szCs w:val="24"/>
          <w:lang w:val="bg-BG"/>
        </w:rPr>
        <w:t xml:space="preserve"> 2</w:t>
      </w:r>
    </w:p>
    <w:p w:rsidR="00916BDB" w:rsidRDefault="00916BDB" w:rsidP="00916BDB">
      <w:pPr>
        <w:pStyle w:val="ab"/>
        <w:spacing w:before="240" w:line="240" w:lineRule="auto"/>
        <w:ind w:left="0" w:firstLine="567"/>
        <w:jc w:val="both"/>
        <w:rPr>
          <w:lang w:val="bg-BG"/>
        </w:rPr>
      </w:pPr>
      <w:r>
        <w:rPr>
          <w:lang w:val="bg-BG"/>
        </w:rPr>
        <w:t>За</w:t>
      </w:r>
      <w:r w:rsidR="00B236BE">
        <w:rPr>
          <w:lang w:val="en-US"/>
        </w:rPr>
        <w:t xml:space="preserve"> </w:t>
      </w:r>
      <w:r>
        <w:rPr>
          <w:lang w:val="bg-BG"/>
        </w:rPr>
        <w:t>разширяване на уличното осветление в населените места</w:t>
      </w:r>
      <w:r w:rsidRPr="00916BDB">
        <w:rPr>
          <w:lang w:val="bg-BG"/>
        </w:rPr>
        <w:t xml:space="preserve"> и </w:t>
      </w:r>
      <w:r>
        <w:rPr>
          <w:lang w:val="bg-BG"/>
        </w:rPr>
        <w:t xml:space="preserve">за </w:t>
      </w:r>
      <w:r w:rsidRPr="00916BDB">
        <w:rPr>
          <w:lang w:val="bg-BG"/>
        </w:rPr>
        <w:t xml:space="preserve">изпълнение на дейности по подмяна на старите улични осветители с нови LED </w:t>
      </w:r>
      <w:r>
        <w:rPr>
          <w:lang w:val="bg-BG"/>
        </w:rPr>
        <w:t xml:space="preserve">осветителни тела, Възложителят </w:t>
      </w:r>
      <w:r w:rsidR="007105D9">
        <w:rPr>
          <w:lang w:val="bg-BG"/>
        </w:rPr>
        <w:t xml:space="preserve">заявява необходимост от доставки в следните ориентировъчни количества: </w:t>
      </w:r>
    </w:p>
    <w:p w:rsidR="00BC0577" w:rsidRDefault="00BC0577" w:rsidP="00F00E36">
      <w:pPr>
        <w:pStyle w:val="ab"/>
        <w:spacing w:before="240" w:line="240" w:lineRule="auto"/>
        <w:ind w:left="0" w:firstLine="567"/>
        <w:jc w:val="right"/>
        <w:rPr>
          <w:lang w:val="en-US"/>
        </w:rPr>
      </w:pPr>
    </w:p>
    <w:p w:rsidR="00F00E36" w:rsidRPr="00916BDB" w:rsidRDefault="00F00E36" w:rsidP="00F00E36">
      <w:pPr>
        <w:pStyle w:val="ab"/>
        <w:spacing w:before="240" w:line="240" w:lineRule="auto"/>
        <w:ind w:left="0" w:firstLine="567"/>
        <w:jc w:val="right"/>
        <w:rPr>
          <w:color w:val="000000"/>
          <w:szCs w:val="24"/>
          <w:lang w:val="bg-BG"/>
        </w:rPr>
      </w:pPr>
      <w:r>
        <w:rPr>
          <w:lang w:val="bg-BG"/>
        </w:rPr>
        <w:t>Таблица 2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113"/>
        <w:gridCol w:w="1418"/>
        <w:gridCol w:w="3543"/>
      </w:tblGrid>
      <w:tr w:rsidR="00872644" w:rsidRPr="00815E1A" w:rsidTr="003B0F48">
        <w:trPr>
          <w:trHeight w:val="398"/>
        </w:trPr>
        <w:tc>
          <w:tcPr>
            <w:tcW w:w="580" w:type="dxa"/>
            <w:shd w:val="clear" w:color="auto" w:fill="auto"/>
            <w:vAlign w:val="center"/>
            <w:hideMark/>
          </w:tcPr>
          <w:p w:rsidR="00872644" w:rsidRPr="00815E1A" w:rsidRDefault="00872644" w:rsidP="00815E1A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815E1A">
              <w:rPr>
                <w:b/>
                <w:bCs/>
                <w:color w:val="000000"/>
                <w:sz w:val="22"/>
                <w:szCs w:val="22"/>
              </w:rPr>
              <w:t>Поз. №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72644" w:rsidRPr="00815E1A" w:rsidRDefault="00872644" w:rsidP="00815E1A">
            <w:pPr>
              <w:widowControl/>
              <w:suppressAutoHyphens w:val="0"/>
              <w:rPr>
                <w:b/>
                <w:bCs/>
                <w:color w:val="000000"/>
                <w:szCs w:val="22"/>
              </w:rPr>
            </w:pPr>
            <w:r w:rsidRPr="00815E1A">
              <w:rPr>
                <w:b/>
                <w:bCs/>
                <w:color w:val="000000"/>
                <w:sz w:val="22"/>
                <w:szCs w:val="22"/>
              </w:rPr>
              <w:t>Вид, наименование, означение, мярка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72644" w:rsidRPr="00815E1A" w:rsidRDefault="00872644" w:rsidP="00815E1A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815E1A">
              <w:rPr>
                <w:b/>
                <w:bCs/>
                <w:color w:val="000000"/>
                <w:sz w:val="22"/>
                <w:szCs w:val="22"/>
              </w:rPr>
              <w:t xml:space="preserve">Прогнозно количество </w:t>
            </w:r>
          </w:p>
        </w:tc>
        <w:tc>
          <w:tcPr>
            <w:tcW w:w="3543" w:type="dxa"/>
            <w:vAlign w:val="center"/>
          </w:tcPr>
          <w:p w:rsidR="00872644" w:rsidRPr="00815E1A" w:rsidRDefault="00872644" w:rsidP="00872644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Забележка</w:t>
            </w:r>
          </w:p>
        </w:tc>
      </w:tr>
      <w:tr w:rsidR="00872644" w:rsidRPr="00815E1A" w:rsidTr="003B0F48">
        <w:trPr>
          <w:trHeight w:val="886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72644" w:rsidRPr="00815E1A" w:rsidRDefault="00872644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72644" w:rsidRPr="00815E1A" w:rsidRDefault="00872644" w:rsidP="00815E1A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Доставка на LED осветително тяло за улично осветление с алуминиев корпус, захранващо напрежение ~230V / 50Hz, мощност 30W, температура на светене ≥ 4000К, ъгъл на осветеност: ≥ 120</w:t>
            </w:r>
            <w:r w:rsidRPr="00815E1A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815E1A">
              <w:rPr>
                <w:color w:val="000000"/>
                <w:sz w:val="22"/>
                <w:szCs w:val="22"/>
              </w:rPr>
              <w:t>, с възможност за монтиране на съществуващи рогатки с диаметър Ø60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72644" w:rsidRPr="00815E1A" w:rsidRDefault="00872644" w:rsidP="007C5731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  <w:r w:rsidRPr="00815E1A">
              <w:rPr>
                <w:color w:val="000000"/>
                <w:sz w:val="22"/>
                <w:szCs w:val="22"/>
              </w:rPr>
              <w:t xml:space="preserve"> бр.</w:t>
            </w:r>
          </w:p>
        </w:tc>
        <w:tc>
          <w:tcPr>
            <w:tcW w:w="3543" w:type="dxa"/>
            <w:vAlign w:val="center"/>
          </w:tcPr>
          <w:p w:rsidR="00872644" w:rsidRDefault="002E342E" w:rsidP="00C819E4">
            <w:pPr>
              <w:widowControl/>
              <w:suppressAutoHyphens w:val="0"/>
              <w:rPr>
                <w:color w:val="000000"/>
                <w:szCs w:val="22"/>
              </w:rPr>
            </w:pPr>
            <w:r w:rsidRPr="00650A44">
              <w:rPr>
                <w:sz w:val="22"/>
                <w:szCs w:val="22"/>
              </w:rPr>
              <w:t>За да се установи съответствие с техническите спецификации се изисква</w:t>
            </w:r>
            <w:r>
              <w:rPr>
                <w:sz w:val="22"/>
                <w:szCs w:val="22"/>
              </w:rPr>
              <w:t xml:space="preserve"> предоставянето на</w:t>
            </w:r>
            <w:r w:rsidRPr="00650A44">
              <w:rPr>
                <w:sz w:val="22"/>
                <w:szCs w:val="22"/>
              </w:rPr>
              <w:t xml:space="preserve"> мостра</w:t>
            </w:r>
          </w:p>
        </w:tc>
      </w:tr>
      <w:tr w:rsidR="009E01D8" w:rsidRPr="00815E1A" w:rsidTr="003B0F48">
        <w:trPr>
          <w:trHeight w:val="43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Рогатка за монтаж и закрепване на улични осветители върху стълбове и/или стени.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50 бр.</w:t>
            </w:r>
          </w:p>
        </w:tc>
        <w:tc>
          <w:tcPr>
            <w:tcW w:w="3543" w:type="dxa"/>
            <w:vMerge w:val="restart"/>
            <w:vAlign w:val="center"/>
          </w:tcPr>
          <w:p w:rsidR="009E01D8" w:rsidRPr="00815E1A" w:rsidRDefault="009E01D8" w:rsidP="00C819E4">
            <w:pPr>
              <w:widowControl/>
              <w:suppressAutoHyphens w:val="0"/>
              <w:rPr>
                <w:color w:val="000000"/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 към ценовото предложение на участниците</w:t>
            </w:r>
            <w:r w:rsidR="00B236B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sz w:val="22"/>
                <w:szCs w:val="22"/>
              </w:rPr>
              <w:t>да се приложи документ (сертификат), удостоверяващ съответствието на техническите характеристики на артикула с изискванията на Възложителя</w:t>
            </w:r>
          </w:p>
        </w:tc>
      </w:tr>
      <w:tr w:rsidR="009E01D8" w:rsidRPr="00815E1A" w:rsidTr="003B0F48">
        <w:trPr>
          <w:trHeight w:val="48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9E01D8" w:rsidRPr="00815E1A" w:rsidRDefault="009E01D8" w:rsidP="00F123DC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Крепежни елементи за монтаж на рогатка за улични осветители върху стълбове и/или стени</w:t>
            </w:r>
            <w:r w:rsidR="00F123DC">
              <w:rPr>
                <w:color w:val="000000"/>
                <w:sz w:val="22"/>
                <w:szCs w:val="22"/>
              </w:rPr>
              <w:t xml:space="preserve"> (шпилки, гайки, шайби </w:t>
            </w:r>
            <w:r>
              <w:rPr>
                <w:color w:val="000000"/>
                <w:sz w:val="22"/>
                <w:szCs w:val="22"/>
              </w:rPr>
              <w:t>и други)</w:t>
            </w:r>
            <w:r w:rsidRPr="00815E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50 бр.</w:t>
            </w:r>
          </w:p>
        </w:tc>
        <w:tc>
          <w:tcPr>
            <w:tcW w:w="3543" w:type="dxa"/>
            <w:vMerge/>
            <w:vAlign w:val="center"/>
          </w:tcPr>
          <w:p w:rsidR="009E01D8" w:rsidRPr="00815E1A" w:rsidRDefault="009E01D8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9E01D8" w:rsidRPr="00815E1A" w:rsidTr="003B0F48">
        <w:trPr>
          <w:trHeight w:val="39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Тяло за улично осветление – 2х18 W (без луминесцентна лампа)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10 бр.</w:t>
            </w:r>
          </w:p>
        </w:tc>
        <w:tc>
          <w:tcPr>
            <w:tcW w:w="3543" w:type="dxa"/>
            <w:vMerge/>
            <w:vAlign w:val="center"/>
          </w:tcPr>
          <w:p w:rsidR="009E01D8" w:rsidRPr="00815E1A" w:rsidRDefault="009E01D8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9E01D8" w:rsidRPr="00815E1A" w:rsidTr="003B0F48">
        <w:trPr>
          <w:trHeight w:val="28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9E01D8" w:rsidRPr="00815E1A" w:rsidRDefault="009E01D8" w:rsidP="00F123DC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Тяло за парково осветление – тип „Сфера” (без лампата)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10 бр.</w:t>
            </w:r>
          </w:p>
        </w:tc>
        <w:tc>
          <w:tcPr>
            <w:tcW w:w="3543" w:type="dxa"/>
            <w:vMerge/>
            <w:vAlign w:val="center"/>
          </w:tcPr>
          <w:p w:rsidR="009E01D8" w:rsidRPr="00815E1A" w:rsidRDefault="009E01D8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9E01D8" w:rsidRPr="00815E1A" w:rsidTr="003B0F48">
        <w:trPr>
          <w:trHeight w:val="26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Стълб за улично осветление с височина над земята 5 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E01D8" w:rsidRPr="00815E1A" w:rsidRDefault="009E01D8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5 бр.</w:t>
            </w:r>
          </w:p>
        </w:tc>
        <w:tc>
          <w:tcPr>
            <w:tcW w:w="3543" w:type="dxa"/>
            <w:vMerge/>
            <w:vAlign w:val="center"/>
          </w:tcPr>
          <w:p w:rsidR="009E01D8" w:rsidRPr="00815E1A" w:rsidRDefault="009E01D8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</w:tbl>
    <w:p w:rsidR="00F123DC" w:rsidRDefault="00F123DC" w:rsidP="00126B31">
      <w:pPr>
        <w:pStyle w:val="ab"/>
        <w:spacing w:after="0" w:line="240" w:lineRule="auto"/>
        <w:ind w:left="0" w:firstLine="567"/>
        <w:jc w:val="both"/>
        <w:rPr>
          <w:color w:val="000000"/>
          <w:szCs w:val="24"/>
          <w:lang w:val="bg-BG"/>
        </w:rPr>
      </w:pPr>
    </w:p>
    <w:p w:rsidR="00BC0577" w:rsidRDefault="001F7B9B" w:rsidP="00126B31">
      <w:pPr>
        <w:pStyle w:val="ab"/>
        <w:spacing w:after="0" w:line="240" w:lineRule="auto"/>
        <w:ind w:left="0" w:firstLine="567"/>
        <w:jc w:val="both"/>
        <w:rPr>
          <w:color w:val="000000"/>
          <w:szCs w:val="24"/>
          <w:lang w:val="en-US"/>
        </w:rPr>
      </w:pPr>
      <w:r>
        <w:rPr>
          <w:color w:val="000000"/>
          <w:szCs w:val="24"/>
          <w:lang w:val="bg-BG"/>
        </w:rPr>
        <w:t>По</w:t>
      </w:r>
      <w:r w:rsidR="00224CFA">
        <w:rPr>
          <w:color w:val="000000"/>
          <w:szCs w:val="24"/>
          <w:lang w:val="bg-BG"/>
        </w:rPr>
        <w:t>сочените</w:t>
      </w:r>
      <w:r>
        <w:rPr>
          <w:color w:val="000000"/>
          <w:szCs w:val="24"/>
          <w:lang w:val="bg-BG"/>
        </w:rPr>
        <w:t xml:space="preserve"> в таблицата количества са прогнозни и не са задължителни. Възложителят ще поръчва </w:t>
      </w:r>
      <w:r w:rsidR="00586633">
        <w:rPr>
          <w:color w:val="000000"/>
          <w:szCs w:val="24"/>
          <w:lang w:val="bg-BG"/>
        </w:rPr>
        <w:t>осветителни тела, рогатки и/или стълбове</w:t>
      </w:r>
      <w:r>
        <w:rPr>
          <w:color w:val="000000"/>
          <w:szCs w:val="24"/>
          <w:lang w:val="bg-BG"/>
        </w:rPr>
        <w:t xml:space="preserve"> според възникналите нужди </w:t>
      </w:r>
      <w:r w:rsidR="00586633">
        <w:rPr>
          <w:color w:val="000000"/>
          <w:szCs w:val="24"/>
          <w:lang w:val="bg-BG"/>
        </w:rPr>
        <w:t>в общината</w:t>
      </w:r>
      <w:r>
        <w:rPr>
          <w:color w:val="000000"/>
          <w:szCs w:val="24"/>
          <w:lang w:val="bg-BG"/>
        </w:rPr>
        <w:t xml:space="preserve"> до 31.12.2019 г. или до </w:t>
      </w:r>
      <w:r w:rsidRPr="00586633">
        <w:rPr>
          <w:color w:val="000000"/>
          <w:szCs w:val="24"/>
          <w:lang w:val="bg-BG"/>
        </w:rPr>
        <w:t>изчерпване на осигурения финансов ресурс.</w:t>
      </w:r>
    </w:p>
    <w:p w:rsidR="007831F7" w:rsidRDefault="00BC0577" w:rsidP="00126B31">
      <w:pPr>
        <w:pStyle w:val="ab"/>
        <w:spacing w:after="0" w:line="240" w:lineRule="auto"/>
        <w:ind w:left="0" w:firstLine="567"/>
        <w:jc w:val="both"/>
        <w:rPr>
          <w:szCs w:val="24"/>
          <w:lang w:val="bg-BG"/>
        </w:rPr>
      </w:pPr>
      <w:r w:rsidRPr="00BC0577">
        <w:rPr>
          <w:color w:val="000000"/>
          <w:szCs w:val="24"/>
          <w:u w:val="single"/>
          <w:lang w:val="en-US"/>
        </w:rPr>
        <w:t>1-</w:t>
      </w:r>
      <w:r w:rsidRPr="00BC0577">
        <w:rPr>
          <w:color w:val="000000"/>
          <w:szCs w:val="24"/>
          <w:u w:val="single"/>
          <w:lang w:val="bg-BG"/>
        </w:rPr>
        <w:t>ви етап:</w:t>
      </w:r>
      <w:r w:rsidR="003203D7">
        <w:rPr>
          <w:color w:val="000000"/>
          <w:szCs w:val="24"/>
          <w:u w:val="single"/>
          <w:lang w:val="bg-BG"/>
        </w:rPr>
        <w:t xml:space="preserve"> </w:t>
      </w:r>
      <w:r w:rsidR="007831F7" w:rsidRPr="00586633">
        <w:rPr>
          <w:szCs w:val="24"/>
          <w:lang w:val="bg-BG"/>
        </w:rPr>
        <w:t xml:space="preserve">За изпълнение на инвестиционната програма за 2018 година е необходимо в срок до 01.12.2018г. да се доставят нови LED улични осветителни тела на стойност </w:t>
      </w:r>
      <w:r w:rsidR="00720C59" w:rsidRPr="00720C59">
        <w:rPr>
          <w:szCs w:val="24"/>
          <w:lang w:val="bg-BG"/>
        </w:rPr>
        <w:t>6325</w:t>
      </w:r>
      <w:r w:rsidR="00586633" w:rsidRPr="00720C59">
        <w:rPr>
          <w:szCs w:val="24"/>
          <w:lang w:val="bg-BG"/>
        </w:rPr>
        <w:t>.00</w:t>
      </w:r>
      <w:r w:rsidR="00720C59">
        <w:rPr>
          <w:szCs w:val="24"/>
          <w:lang w:val="bg-BG"/>
        </w:rPr>
        <w:t xml:space="preserve"> лева</w:t>
      </w:r>
      <w:r w:rsidR="007831F7" w:rsidRPr="00586633">
        <w:rPr>
          <w:szCs w:val="24"/>
          <w:lang w:val="bg-BG"/>
        </w:rPr>
        <w:t xml:space="preserve"> с включен ДДС</w:t>
      </w:r>
      <w:r w:rsidR="001F7B9B" w:rsidRPr="00586633">
        <w:rPr>
          <w:szCs w:val="24"/>
          <w:lang w:val="bg-BG"/>
        </w:rPr>
        <w:t xml:space="preserve"> (</w:t>
      </w:r>
      <w:r w:rsidR="00720C59">
        <w:rPr>
          <w:color w:val="000000"/>
          <w:szCs w:val="24"/>
          <w:lang w:val="bg-BG"/>
        </w:rPr>
        <w:t>5270.83</w:t>
      </w:r>
      <w:r w:rsidR="00E84884">
        <w:rPr>
          <w:color w:val="000000"/>
          <w:szCs w:val="24"/>
          <w:lang w:val="en-US"/>
        </w:rPr>
        <w:t xml:space="preserve"> </w:t>
      </w:r>
      <w:r w:rsidR="001F7B9B" w:rsidRPr="00271807">
        <w:rPr>
          <w:color w:val="000000"/>
          <w:szCs w:val="24"/>
          <w:lang w:val="bg-BG"/>
        </w:rPr>
        <w:t>лв. без вкл</w:t>
      </w:r>
      <w:r w:rsidR="00271807">
        <w:rPr>
          <w:color w:val="000000"/>
          <w:szCs w:val="24"/>
          <w:lang w:val="bg-BG"/>
        </w:rPr>
        <w:t>ючен</w:t>
      </w:r>
      <w:r w:rsidR="00B236BE">
        <w:rPr>
          <w:color w:val="000000"/>
          <w:szCs w:val="24"/>
          <w:lang w:val="en-US"/>
        </w:rPr>
        <w:t xml:space="preserve"> </w:t>
      </w:r>
      <w:r w:rsidR="001F7B9B" w:rsidRPr="00586633">
        <w:rPr>
          <w:color w:val="000000"/>
          <w:szCs w:val="24"/>
          <w:lang w:val="bg-BG"/>
        </w:rPr>
        <w:t>ДДС)</w:t>
      </w:r>
      <w:r w:rsidR="00F00524" w:rsidRPr="00586633">
        <w:rPr>
          <w:szCs w:val="24"/>
          <w:lang w:val="bg-BG"/>
        </w:rPr>
        <w:t>.</w:t>
      </w:r>
    </w:p>
    <w:p w:rsidR="00BC0577" w:rsidRDefault="00BC0577" w:rsidP="00BC0577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  <w:r w:rsidRPr="00BC0577">
        <w:rPr>
          <w:szCs w:val="24"/>
          <w:u w:val="single"/>
          <w:lang w:val="bg-BG"/>
        </w:rPr>
        <w:t>2-ри етап</w:t>
      </w:r>
      <w:r>
        <w:rPr>
          <w:szCs w:val="24"/>
          <w:lang w:val="bg-BG"/>
        </w:rPr>
        <w:t xml:space="preserve">: </w:t>
      </w:r>
      <w:r>
        <w:rPr>
          <w:color w:val="000000"/>
          <w:szCs w:val="24"/>
          <w:lang w:val="bg-BG"/>
        </w:rPr>
        <w:t xml:space="preserve">Доставка на артикули от Таблица 2, според възникналите нужди в общината </w:t>
      </w:r>
      <w:r w:rsidR="00720C59">
        <w:rPr>
          <w:color w:val="000000"/>
          <w:szCs w:val="24"/>
          <w:lang w:val="bg-BG"/>
        </w:rPr>
        <w:t>в периода от 01.01.2019 до 31</w:t>
      </w:r>
      <w:r w:rsidR="00B236BE">
        <w:rPr>
          <w:color w:val="000000"/>
          <w:szCs w:val="24"/>
          <w:lang w:val="en-US"/>
        </w:rPr>
        <w:t>.</w:t>
      </w:r>
      <w:r w:rsidR="00720C59">
        <w:rPr>
          <w:color w:val="000000"/>
          <w:szCs w:val="24"/>
          <w:lang w:val="bg-BG"/>
        </w:rPr>
        <w:t>12</w:t>
      </w:r>
      <w:r w:rsidR="00B236BE">
        <w:rPr>
          <w:color w:val="000000"/>
          <w:szCs w:val="24"/>
          <w:lang w:val="en-US"/>
        </w:rPr>
        <w:t>.</w:t>
      </w:r>
      <w:r w:rsidR="00720C59">
        <w:rPr>
          <w:color w:val="000000"/>
          <w:szCs w:val="24"/>
          <w:lang w:val="bg-BG"/>
        </w:rPr>
        <w:t xml:space="preserve"> 2019 година.</w:t>
      </w:r>
    </w:p>
    <w:p w:rsidR="003C0424" w:rsidRDefault="00586633" w:rsidP="003C0424">
      <w:pPr>
        <w:ind w:firstLine="708"/>
        <w:jc w:val="both"/>
      </w:pPr>
      <w:r w:rsidRPr="00126B31">
        <w:rPr>
          <w:rFonts w:eastAsia="Calibri"/>
          <w:szCs w:val="24"/>
          <w:lang w:eastAsia="en-US"/>
        </w:rPr>
        <w:t>За да се установи съответствие с техническите спецификации на светодиодните улични осветителни тела, Възложителят изисква предоставянето на мостр</w:t>
      </w:r>
      <w:r w:rsidR="00016CB0">
        <w:rPr>
          <w:rFonts w:eastAsia="Calibri"/>
          <w:szCs w:val="24"/>
          <w:lang w:eastAsia="en-US"/>
        </w:rPr>
        <w:t>а</w:t>
      </w:r>
      <w:r w:rsidRPr="00126B31">
        <w:rPr>
          <w:rFonts w:eastAsia="Calibri"/>
          <w:szCs w:val="24"/>
          <w:lang w:eastAsia="en-US"/>
        </w:rPr>
        <w:t xml:space="preserve">. </w:t>
      </w:r>
      <w:r w:rsidR="00016CB0">
        <w:t>При разглеждане на предложението, представители на Възложителя ще извършат оглед на предоставената мостра, което няма да доведе до нарушаване ц</w:t>
      </w:r>
      <w:r w:rsidR="00BF146C">
        <w:t>е</w:t>
      </w:r>
      <w:r w:rsidR="00016CB0">
        <w:t>лостта на мострите. При огледа няма да се разопаковат опаковките на свързващите елементи (винтове, планки и др.). Приетите мостри ще бъдат върнати на участниците на посочен от тях адрес в срок от 10 (</w:t>
      </w:r>
      <w:r w:rsidR="00016CB0" w:rsidRPr="00BD7674">
        <w:rPr>
          <w:i/>
        </w:rPr>
        <w:t>десет</w:t>
      </w:r>
      <w:r w:rsidR="00016CB0">
        <w:t>) дни след подписване на договора за доставка. При положение, че при огледа се наруши ц</w:t>
      </w:r>
      <w:r w:rsidR="00BF146C">
        <w:t>е</w:t>
      </w:r>
      <w:r w:rsidR="00016CB0">
        <w:t xml:space="preserve">лостта на някоя от предоставените мостри, Възложителят ще заплати на участника стойността на мострата по предложената единична цена </w:t>
      </w:r>
      <w:r w:rsidR="00016CB0" w:rsidRPr="00AA316B">
        <w:t>на посочена от него банкова сметка</w:t>
      </w:r>
      <w:r w:rsidR="00016CB0">
        <w:t>.</w:t>
      </w:r>
    </w:p>
    <w:p w:rsidR="003C0424" w:rsidRPr="00413558" w:rsidRDefault="003C0424" w:rsidP="003C0424">
      <w:pPr>
        <w:ind w:firstLine="708"/>
        <w:jc w:val="both"/>
        <w:rPr>
          <w:highlight w:val="yellow"/>
        </w:rPr>
      </w:pPr>
      <w:r>
        <w:rPr>
          <w:color w:val="000000"/>
        </w:rPr>
        <w:t>Представената мостра трябва да е обозначена по начин, от който да е видно на кое предложение отговаря.</w:t>
      </w:r>
    </w:p>
    <w:p w:rsidR="00223C17" w:rsidRPr="00BC0577" w:rsidRDefault="00223C17" w:rsidP="00223C17">
      <w:pPr>
        <w:ind w:firstLine="708"/>
        <w:jc w:val="both"/>
      </w:pPr>
      <w:r w:rsidRPr="00BC0577">
        <w:t>При откриване на транспортни дефекти, мостр</w:t>
      </w:r>
      <w:r w:rsidR="00651A32" w:rsidRPr="00BC0577">
        <w:t>ата се връща</w:t>
      </w:r>
      <w:r w:rsidR="00B236BE">
        <w:rPr>
          <w:lang w:val="en-US"/>
        </w:rPr>
        <w:t xml:space="preserve"> </w:t>
      </w:r>
      <w:r w:rsidRPr="00BC0577">
        <w:t>веднага на участника. Участникът има право в 5 (</w:t>
      </w:r>
      <w:r w:rsidRPr="00BC0577">
        <w:rPr>
          <w:i/>
        </w:rPr>
        <w:t>пет</w:t>
      </w:r>
      <w:r w:rsidRPr="00BC0577">
        <w:t>) дневен срок от връщането на пратката да предостави нов</w:t>
      </w:r>
      <w:r w:rsidR="00651A32" w:rsidRPr="00BC0577">
        <w:t>а</w:t>
      </w:r>
      <w:r w:rsidRPr="00BC0577">
        <w:t xml:space="preserve"> мостр</w:t>
      </w:r>
      <w:r w:rsidR="00651A32" w:rsidRPr="00BC0577">
        <w:t>а</w:t>
      </w:r>
      <w:r w:rsidRPr="00BC0577">
        <w:t xml:space="preserve"> за участието си в процедурата по възлагането на обществената поръчка. В случай, че и втор</w:t>
      </w:r>
      <w:r w:rsidR="00651A32" w:rsidRPr="00BC0577">
        <w:t>ата</w:t>
      </w:r>
      <w:r w:rsidRPr="00BC0577">
        <w:t xml:space="preserve"> мостр</w:t>
      </w:r>
      <w:r w:rsidR="00651A32" w:rsidRPr="00BC0577">
        <w:t>а</w:t>
      </w:r>
      <w:r w:rsidRPr="00BC0577">
        <w:t xml:space="preserve"> пристигн</w:t>
      </w:r>
      <w:r w:rsidR="00651A32" w:rsidRPr="00BC0577">
        <w:t>е</w:t>
      </w:r>
      <w:r w:rsidRPr="00BC0577">
        <w:t xml:space="preserve"> с нарушена цялост, пратката се връща на участника и направеното от него предложение не се разглежда.</w:t>
      </w:r>
    </w:p>
    <w:p w:rsidR="00223C17" w:rsidRDefault="00223C17" w:rsidP="00223C17">
      <w:pPr>
        <w:ind w:firstLine="708"/>
        <w:jc w:val="both"/>
      </w:pPr>
      <w:r w:rsidRPr="00BC0577">
        <w:t>Възложителят ще задържи мострата на участника, избран за Изпълнител на поръчката до края на сключения договор.</w:t>
      </w:r>
    </w:p>
    <w:p w:rsidR="00223C17" w:rsidRPr="00126B31" w:rsidRDefault="00223C17" w:rsidP="00126B31">
      <w:pPr>
        <w:widowControl/>
        <w:suppressAutoHyphens w:val="0"/>
        <w:ind w:firstLine="567"/>
        <w:jc w:val="both"/>
        <w:textAlignment w:val="center"/>
      </w:pPr>
    </w:p>
    <w:p w:rsidR="00197316" w:rsidRPr="001E5FED" w:rsidRDefault="00197316" w:rsidP="002620AA">
      <w:pPr>
        <w:pStyle w:val="ab"/>
        <w:numPr>
          <w:ilvl w:val="0"/>
          <w:numId w:val="4"/>
        </w:numPr>
        <w:spacing w:before="240" w:line="240" w:lineRule="auto"/>
        <w:jc w:val="both"/>
        <w:rPr>
          <w:b/>
          <w:szCs w:val="24"/>
        </w:rPr>
      </w:pPr>
      <w:r>
        <w:rPr>
          <w:b/>
          <w:szCs w:val="24"/>
          <w:lang w:val="bg-BG"/>
        </w:rPr>
        <w:t>ОБЩИ ИЗИСКВАНИЯ ПРИ ИЗПЪЛНЕНИЕ НА ПОРЪЧКАТА</w:t>
      </w:r>
    </w:p>
    <w:p w:rsidR="001E5FED" w:rsidRDefault="00DD5986" w:rsidP="002620AA">
      <w:pPr>
        <w:ind w:firstLine="567"/>
        <w:jc w:val="both"/>
        <w:rPr>
          <w:szCs w:val="24"/>
        </w:rPr>
      </w:pPr>
      <w:r>
        <w:rPr>
          <w:szCs w:val="24"/>
        </w:rPr>
        <w:t>Изпълнението на поръчката се извършва съобразно всички действащи в страната правила и норми за извършване на доставките</w:t>
      </w:r>
      <w:r w:rsidR="00E9647D">
        <w:rPr>
          <w:szCs w:val="24"/>
        </w:rPr>
        <w:t>, предмет на поръчката.</w:t>
      </w:r>
      <w:r w:rsidR="00780E70">
        <w:rPr>
          <w:szCs w:val="24"/>
        </w:rPr>
        <w:t xml:space="preserve"> Всички </w:t>
      </w:r>
      <w:r w:rsidR="004D6EDB">
        <w:rPr>
          <w:szCs w:val="24"/>
        </w:rPr>
        <w:t>артикули</w:t>
      </w:r>
      <w:r w:rsidR="00780E70">
        <w:rPr>
          <w:szCs w:val="24"/>
        </w:rPr>
        <w:t xml:space="preserve">, доставяни от Изпълнителя, трябва да бъдат </w:t>
      </w:r>
      <w:r w:rsidR="00D229F9">
        <w:rPr>
          <w:szCs w:val="24"/>
        </w:rPr>
        <w:t>ок</w:t>
      </w:r>
      <w:r w:rsidR="00FF6F4A">
        <w:rPr>
          <w:szCs w:val="24"/>
        </w:rPr>
        <w:t xml:space="preserve">омплектовани </w:t>
      </w:r>
      <w:r w:rsidR="00D229F9">
        <w:rPr>
          <w:szCs w:val="24"/>
        </w:rPr>
        <w:t>със съответните сертификати</w:t>
      </w:r>
      <w:r w:rsidR="00C168EC">
        <w:rPr>
          <w:szCs w:val="24"/>
          <w:lang w:val="en-US"/>
        </w:rPr>
        <w:t xml:space="preserve"> </w:t>
      </w:r>
      <w:r w:rsidR="00D229F9">
        <w:rPr>
          <w:szCs w:val="24"/>
        </w:rPr>
        <w:t>за произход и качество, информационен лист за безопасност на продукта, инструкция за употреба на български език и декларация, удостоверяваща съответствието на доставяните материали с изиск</w:t>
      </w:r>
      <w:r w:rsidR="00700D05">
        <w:rPr>
          <w:szCs w:val="24"/>
        </w:rPr>
        <w:t>ванията на Възложителя.</w:t>
      </w:r>
    </w:p>
    <w:p w:rsidR="001E5FED" w:rsidRPr="00EF33FD" w:rsidRDefault="00700D05" w:rsidP="0023300B">
      <w:pPr>
        <w:ind w:firstLine="567"/>
        <w:jc w:val="both"/>
        <w:rPr>
          <w:szCs w:val="24"/>
        </w:rPr>
      </w:pPr>
      <w:r>
        <w:rPr>
          <w:szCs w:val="24"/>
        </w:rPr>
        <w:t>Доставяните продукти трябва да са в оригиналните опаковки на производителя, с ненарушена цялост. Предлаганите стоки трябва да са безвредни за здравето и живота на хората.</w:t>
      </w:r>
    </w:p>
    <w:p w:rsidR="001E5FED" w:rsidRPr="001E5FED" w:rsidRDefault="001E5FED" w:rsidP="0023300B">
      <w:pPr>
        <w:pStyle w:val="ab"/>
        <w:numPr>
          <w:ilvl w:val="0"/>
          <w:numId w:val="4"/>
        </w:numPr>
        <w:spacing w:before="240" w:line="240" w:lineRule="auto"/>
        <w:jc w:val="both"/>
        <w:rPr>
          <w:b/>
          <w:szCs w:val="24"/>
        </w:rPr>
      </w:pPr>
      <w:r>
        <w:rPr>
          <w:b/>
          <w:szCs w:val="24"/>
          <w:lang w:val="bg-BG"/>
        </w:rPr>
        <w:t>ИЗПЪЛНЕНИЕ НА ПОРЪЧКАТА</w:t>
      </w:r>
    </w:p>
    <w:p w:rsidR="001E5FED" w:rsidRPr="00594E78" w:rsidRDefault="00E5720F" w:rsidP="0066762A">
      <w:pPr>
        <w:ind w:firstLine="567"/>
        <w:jc w:val="both"/>
        <w:rPr>
          <w:szCs w:val="24"/>
        </w:rPr>
      </w:pPr>
      <w:r w:rsidRPr="00594E78">
        <w:rPr>
          <w:szCs w:val="24"/>
        </w:rPr>
        <w:t>Доставките се извършват периодично по</w:t>
      </w:r>
      <w:r w:rsidR="00FF6F4A" w:rsidRPr="00594E78">
        <w:rPr>
          <w:szCs w:val="24"/>
        </w:rPr>
        <w:t xml:space="preserve"> писмена</w:t>
      </w:r>
      <w:r w:rsidRPr="00594E78">
        <w:rPr>
          <w:szCs w:val="24"/>
        </w:rPr>
        <w:t xml:space="preserve"> заявка на Възложителя</w:t>
      </w:r>
      <w:r w:rsidR="0066762A" w:rsidRPr="00594E78">
        <w:rPr>
          <w:szCs w:val="24"/>
        </w:rPr>
        <w:t xml:space="preserve">. </w:t>
      </w:r>
      <w:r w:rsidR="00594E78" w:rsidRPr="00594E78">
        <w:t xml:space="preserve">Получаването на документа се потвърждава чрез електронно съобщение до изпращача. </w:t>
      </w:r>
      <w:r w:rsidR="00594E78" w:rsidRPr="00594E78">
        <w:rPr>
          <w:szCs w:val="24"/>
        </w:rPr>
        <w:t>За целия срок на договора, з</w:t>
      </w:r>
      <w:r w:rsidR="00594E78" w:rsidRPr="00594E78">
        <w:t xml:space="preserve">аявените електроматериали и резервни части следва да бъдат доставяни до </w:t>
      </w:r>
      <w:r w:rsidR="00594E78" w:rsidRPr="00594E78">
        <w:rPr>
          <w:szCs w:val="24"/>
        </w:rPr>
        <w:t xml:space="preserve">Автостопанството на Възложителя с адрес – град Добрич, бул. Трети март, № 70 </w:t>
      </w:r>
      <w:r w:rsidR="00594E78" w:rsidRPr="00594E78">
        <w:rPr>
          <w:b/>
          <w:szCs w:val="24"/>
        </w:rPr>
        <w:t>–</w:t>
      </w:r>
      <w:r w:rsidR="00594E78" w:rsidRPr="00594E78">
        <w:rPr>
          <w:szCs w:val="24"/>
        </w:rPr>
        <w:t xml:space="preserve"> в срок от не повече от 7 (</w:t>
      </w:r>
      <w:r w:rsidR="00594E78" w:rsidRPr="00594E78">
        <w:rPr>
          <w:i/>
          <w:szCs w:val="24"/>
        </w:rPr>
        <w:t>седем</w:t>
      </w:r>
      <w:r w:rsidR="00594E78" w:rsidRPr="00594E78">
        <w:rPr>
          <w:szCs w:val="24"/>
        </w:rPr>
        <w:t xml:space="preserve">) </w:t>
      </w:r>
      <w:r w:rsidR="00594E78" w:rsidRPr="00594E78">
        <w:t>работни дни, считано от датата на потвърждението за получаване на писмената заявка на Възложителя по факс, хартиен носител или по ел.поща.</w:t>
      </w:r>
      <w:r w:rsidR="001F1B11" w:rsidRPr="00594E78">
        <w:rPr>
          <w:szCs w:val="24"/>
        </w:rPr>
        <w:t>Приемат се и се заплащат</w:t>
      </w:r>
      <w:r w:rsidR="0066762A" w:rsidRPr="00594E78">
        <w:rPr>
          <w:szCs w:val="24"/>
        </w:rPr>
        <w:t xml:space="preserve"> само количествата и видовете, които са </w:t>
      </w:r>
      <w:r w:rsidR="001F1B11" w:rsidRPr="00594E78">
        <w:rPr>
          <w:szCs w:val="24"/>
        </w:rPr>
        <w:t xml:space="preserve">заявени и </w:t>
      </w:r>
      <w:r w:rsidR="0066762A" w:rsidRPr="00594E78">
        <w:rPr>
          <w:szCs w:val="24"/>
        </w:rPr>
        <w:t>доставени при условията на подписания Договор за доставка.</w:t>
      </w:r>
    </w:p>
    <w:p w:rsidR="0046298C" w:rsidRDefault="000B3928" w:rsidP="000B3928">
      <w:pPr>
        <w:ind w:firstLine="567"/>
        <w:jc w:val="both"/>
        <w:rPr>
          <w:szCs w:val="24"/>
          <w:lang w:val="en-US"/>
        </w:rPr>
      </w:pPr>
      <w:r>
        <w:rPr>
          <w:szCs w:val="24"/>
        </w:rPr>
        <w:t xml:space="preserve">Приемането на доставката се удостоверява чрез съставяне на Приемо-предавателен протокол, който се подписва от </w:t>
      </w:r>
      <w:r w:rsidR="001F1B11">
        <w:rPr>
          <w:szCs w:val="24"/>
        </w:rPr>
        <w:t>упълномощени представители</w:t>
      </w:r>
      <w:r>
        <w:rPr>
          <w:szCs w:val="24"/>
        </w:rPr>
        <w:t xml:space="preserve"> на Възложителя и Изпълнителя и е основание за издаване на фактура – оригинал. Приемо-предавателният протокол се съставя в 3 (</w:t>
      </w:r>
      <w:r w:rsidRPr="000B3928">
        <w:rPr>
          <w:i/>
          <w:szCs w:val="24"/>
        </w:rPr>
        <w:t>три</w:t>
      </w:r>
      <w:r>
        <w:rPr>
          <w:szCs w:val="24"/>
        </w:rPr>
        <w:t xml:space="preserve">) еднообразни екземпляра (два за </w:t>
      </w:r>
      <w:r w:rsidR="00D63A06">
        <w:rPr>
          <w:szCs w:val="24"/>
        </w:rPr>
        <w:t xml:space="preserve">Възложителя и един за Изпълнителя) и съдържа най-малко следната информация: вид и количество на доставената стока и нейното съответствие с офертата на Изпълнителя и изискванията на Възложителя, определени с техническата спецификация или конкретната заявка; номер на Договора; дата и място на доставка. Протоколът се подписва само при условие, че </w:t>
      </w:r>
      <w:r w:rsidR="008610E2">
        <w:rPr>
          <w:szCs w:val="24"/>
        </w:rPr>
        <w:t>доставените артикули отговарят изцяло на изискванията на Възложителя и посочените в заявката видове и количества.</w:t>
      </w:r>
    </w:p>
    <w:p w:rsidR="009A4784" w:rsidRPr="006442C0" w:rsidRDefault="009A4784" w:rsidP="009A4784">
      <w:pPr>
        <w:ind w:firstLine="567"/>
        <w:jc w:val="both"/>
        <w:rPr>
          <w:szCs w:val="24"/>
        </w:rPr>
      </w:pPr>
      <w:r>
        <w:rPr>
          <w:szCs w:val="24"/>
        </w:rPr>
        <w:t xml:space="preserve">Подписването на Протокола без забележки има силата на приемане на доставката от страна на Възложителя, освен в случаите на „скрити несъответствия“, които не могат да бъдат открити при обикновения оглед на стоката. </w:t>
      </w:r>
      <w:r>
        <w:rPr>
          <w:color w:val="000000"/>
          <w:szCs w:val="24"/>
        </w:rPr>
        <w:t>Приемането на доставката с Приемо-предавателен протокол няма отношение към установените впоследствие в гаранционния срок несъответствия.</w:t>
      </w:r>
    </w:p>
    <w:p w:rsidR="009A4784" w:rsidRDefault="009A4784" w:rsidP="009A4784">
      <w:pPr>
        <w:ind w:firstLine="567"/>
        <w:jc w:val="both"/>
        <w:rPr>
          <w:szCs w:val="24"/>
        </w:rPr>
      </w:pPr>
      <w:r>
        <w:rPr>
          <w:szCs w:val="24"/>
        </w:rPr>
        <w:t>Собствеността и риска от случайно повреждане на стоката, предмет на доставката преминава от Изпълнителя върху Възложителя от датата на подписване на протокола за приемане на доставената стока.</w:t>
      </w:r>
    </w:p>
    <w:p w:rsidR="00D63A06" w:rsidRDefault="001452B6" w:rsidP="000B3928">
      <w:pPr>
        <w:ind w:firstLine="567"/>
        <w:jc w:val="both"/>
        <w:rPr>
          <w:szCs w:val="24"/>
          <w:lang w:val="en-US"/>
        </w:rPr>
      </w:pPr>
      <w:r>
        <w:rPr>
          <w:szCs w:val="24"/>
        </w:rPr>
        <w:t xml:space="preserve">При констатиране на явни </w:t>
      </w:r>
      <w:r w:rsidR="00D63A06">
        <w:rPr>
          <w:szCs w:val="24"/>
        </w:rPr>
        <w:t>несъответстви</w:t>
      </w:r>
      <w:r>
        <w:rPr>
          <w:szCs w:val="24"/>
        </w:rPr>
        <w:t>я</w:t>
      </w:r>
      <w:r w:rsidR="00B236BE">
        <w:rPr>
          <w:szCs w:val="24"/>
          <w:lang w:val="en-US"/>
        </w:rPr>
        <w:t xml:space="preserve"> </w:t>
      </w:r>
      <w:r>
        <w:rPr>
          <w:szCs w:val="24"/>
        </w:rPr>
        <w:t>страните</w:t>
      </w:r>
      <w:r w:rsidR="00D63A06">
        <w:rPr>
          <w:szCs w:val="24"/>
        </w:rPr>
        <w:t xml:space="preserve"> подписва</w:t>
      </w:r>
      <w:r>
        <w:rPr>
          <w:szCs w:val="24"/>
        </w:rPr>
        <w:t>т</w:t>
      </w:r>
      <w:r w:rsidR="00D63A06">
        <w:rPr>
          <w:szCs w:val="24"/>
        </w:rPr>
        <w:t xml:space="preserve"> Констативен протокол, в който подробно се описват </w:t>
      </w:r>
      <w:r>
        <w:rPr>
          <w:szCs w:val="24"/>
        </w:rPr>
        <w:t>констатациите и се посочва срокът, в който да се отстранят несъответствията</w:t>
      </w:r>
      <w:r w:rsidR="008610E2">
        <w:rPr>
          <w:szCs w:val="24"/>
        </w:rPr>
        <w:t>.</w:t>
      </w:r>
      <w:r w:rsidR="001F1B11">
        <w:rPr>
          <w:szCs w:val="24"/>
        </w:rPr>
        <w:t xml:space="preserve"> Възложителят не дължи заплащане на доставката преди отстраняването на констатира</w:t>
      </w:r>
      <w:r w:rsidR="009A4784">
        <w:rPr>
          <w:szCs w:val="24"/>
        </w:rPr>
        <w:t>ните несъответствия.</w:t>
      </w:r>
    </w:p>
    <w:p w:rsidR="009A4784" w:rsidRPr="009A4784" w:rsidRDefault="00236EBA" w:rsidP="000B3928">
      <w:pPr>
        <w:ind w:firstLine="567"/>
        <w:jc w:val="both"/>
        <w:rPr>
          <w:szCs w:val="24"/>
          <w:lang w:val="en-US"/>
        </w:rPr>
      </w:pPr>
      <w:r>
        <w:rPr>
          <w:color w:val="000000"/>
          <w:szCs w:val="24"/>
        </w:rPr>
        <w:t>В сроковете на гаранцията</w:t>
      </w:r>
      <w:r w:rsidR="009A4784">
        <w:rPr>
          <w:color w:val="000000"/>
          <w:szCs w:val="24"/>
        </w:rPr>
        <w:t xml:space="preserve"> дефектиралите стоки се приемат за ремонт или се заменят с нови. Всички несъответствия на стоките се отстраняват за сметка на Изпълнителя. До пълноценното отстраняване на дефекта/повредата, Изпълнителят осигурява на Възложителя оборотна стока от същия или подобен клас, като гаранционният срок на стоката в процес на поправяне се удължава със срока на ремонта.</w:t>
      </w:r>
    </w:p>
    <w:p w:rsidR="001E5FED" w:rsidRPr="001E5FED" w:rsidRDefault="001E5FED" w:rsidP="0023300B">
      <w:pPr>
        <w:pStyle w:val="ab"/>
        <w:numPr>
          <w:ilvl w:val="0"/>
          <w:numId w:val="4"/>
        </w:numPr>
        <w:spacing w:before="240" w:line="240" w:lineRule="auto"/>
        <w:jc w:val="both"/>
        <w:rPr>
          <w:b/>
          <w:szCs w:val="24"/>
        </w:rPr>
      </w:pPr>
      <w:r>
        <w:rPr>
          <w:b/>
          <w:szCs w:val="24"/>
          <w:lang w:val="bg-BG"/>
        </w:rPr>
        <w:t>СРОКОВЕ ЗА ИЗПЪЛНЕНИЕ. ГАРАНЦИОННИ СРОКОВЕ</w:t>
      </w:r>
    </w:p>
    <w:p w:rsidR="001E5FED" w:rsidRDefault="006442C0" w:rsidP="006442C0">
      <w:pPr>
        <w:ind w:firstLine="567"/>
        <w:jc w:val="both"/>
        <w:rPr>
          <w:color w:val="000000"/>
          <w:szCs w:val="24"/>
        </w:rPr>
      </w:pPr>
      <w:r>
        <w:rPr>
          <w:szCs w:val="24"/>
        </w:rPr>
        <w:t xml:space="preserve">Договорите за доставка, които ще се подпишат с избраните изпълнители са със срок на действие до 31.12.2019г. или до </w:t>
      </w:r>
      <w:r w:rsidRPr="00586633">
        <w:rPr>
          <w:color w:val="000000"/>
          <w:szCs w:val="24"/>
        </w:rPr>
        <w:t>изчерпване на осигурения финансов ресурс</w:t>
      </w:r>
      <w:r>
        <w:rPr>
          <w:color w:val="000000"/>
          <w:szCs w:val="24"/>
        </w:rPr>
        <w:t>.</w:t>
      </w:r>
    </w:p>
    <w:p w:rsidR="006442C0" w:rsidRDefault="006442C0" w:rsidP="006442C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Срокът за доставка на заявените количества стоки</w:t>
      </w:r>
      <w:r w:rsidR="00936107">
        <w:rPr>
          <w:color w:val="000000"/>
          <w:szCs w:val="24"/>
        </w:rPr>
        <w:t xml:space="preserve"> е </w:t>
      </w:r>
      <w:r w:rsidR="00594E78">
        <w:rPr>
          <w:color w:val="000000"/>
          <w:szCs w:val="24"/>
        </w:rPr>
        <w:t>най-много 7 (</w:t>
      </w:r>
      <w:r w:rsidR="00594E78" w:rsidRPr="00594E78">
        <w:rPr>
          <w:i/>
          <w:color w:val="000000"/>
          <w:szCs w:val="24"/>
        </w:rPr>
        <w:t>седем</w:t>
      </w:r>
      <w:r w:rsidR="00594E78">
        <w:rPr>
          <w:color w:val="000000"/>
          <w:szCs w:val="24"/>
        </w:rPr>
        <w:t>) работни дни</w:t>
      </w:r>
      <w:r w:rsidR="00FF6F4A">
        <w:rPr>
          <w:color w:val="000000"/>
          <w:szCs w:val="24"/>
        </w:rPr>
        <w:t>.</w:t>
      </w:r>
    </w:p>
    <w:p w:rsidR="00320429" w:rsidRDefault="00320429" w:rsidP="006442C0">
      <w:pPr>
        <w:ind w:firstLine="567"/>
        <w:jc w:val="both"/>
        <w:rPr>
          <w:color w:val="000000"/>
          <w:szCs w:val="24"/>
        </w:rPr>
      </w:pPr>
      <w:r w:rsidRPr="00586633">
        <w:rPr>
          <w:szCs w:val="24"/>
        </w:rPr>
        <w:t>За изпълнение на инвестиционната програма за 2018 година е необходимо в срок до 01.12.2018</w:t>
      </w:r>
      <w:r w:rsidR="0024527A">
        <w:rPr>
          <w:szCs w:val="24"/>
        </w:rPr>
        <w:t xml:space="preserve"> </w:t>
      </w:r>
      <w:r w:rsidRPr="00586633">
        <w:rPr>
          <w:szCs w:val="24"/>
        </w:rPr>
        <w:t xml:space="preserve">г. да се доставят нови LED улични осветителни тела на стойност </w:t>
      </w:r>
      <w:r w:rsidR="00594E78">
        <w:rPr>
          <w:szCs w:val="24"/>
        </w:rPr>
        <w:t>6325.00</w:t>
      </w:r>
      <w:r w:rsidRPr="00586633">
        <w:rPr>
          <w:szCs w:val="24"/>
        </w:rPr>
        <w:t xml:space="preserve"> лв. с включен ДДС (</w:t>
      </w:r>
      <w:r w:rsidR="00594E78">
        <w:rPr>
          <w:color w:val="000000"/>
          <w:szCs w:val="24"/>
        </w:rPr>
        <w:t>5270.83</w:t>
      </w:r>
      <w:r w:rsidRPr="00271807">
        <w:rPr>
          <w:color w:val="000000"/>
          <w:szCs w:val="24"/>
        </w:rPr>
        <w:t>лв. без вкл</w:t>
      </w:r>
      <w:r>
        <w:rPr>
          <w:color w:val="000000"/>
          <w:szCs w:val="24"/>
        </w:rPr>
        <w:t>ючен</w:t>
      </w:r>
      <w:r w:rsidR="00B236BE">
        <w:rPr>
          <w:color w:val="000000"/>
          <w:szCs w:val="24"/>
          <w:lang w:val="en-US"/>
        </w:rPr>
        <w:t xml:space="preserve"> </w:t>
      </w:r>
      <w:r w:rsidRPr="00586633">
        <w:rPr>
          <w:color w:val="000000"/>
          <w:szCs w:val="24"/>
        </w:rPr>
        <w:t>ДДС)</w:t>
      </w:r>
      <w:r>
        <w:rPr>
          <w:color w:val="000000"/>
          <w:szCs w:val="24"/>
        </w:rPr>
        <w:t>.</w:t>
      </w:r>
      <w:r w:rsidR="0024527A">
        <w:rPr>
          <w:color w:val="000000"/>
          <w:szCs w:val="24"/>
        </w:rPr>
        <w:t xml:space="preserve"> Плащанията за 2018 година могат да се извършат най-късно д</w:t>
      </w:r>
      <w:r w:rsidR="00236EBA">
        <w:rPr>
          <w:color w:val="000000"/>
          <w:szCs w:val="24"/>
        </w:rPr>
        <w:t>о</w:t>
      </w:r>
      <w:bookmarkStart w:id="0" w:name="_GoBack"/>
      <w:bookmarkEnd w:id="0"/>
      <w:r w:rsidR="0024527A">
        <w:rPr>
          <w:color w:val="000000"/>
          <w:szCs w:val="24"/>
        </w:rPr>
        <w:t xml:space="preserve"> 20.12.2018 г.</w:t>
      </w:r>
    </w:p>
    <w:p w:rsidR="00024CB2" w:rsidRDefault="00024CB2" w:rsidP="006442C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</w:t>
      </w:r>
      <w:r w:rsidR="009A4784">
        <w:rPr>
          <w:color w:val="000000"/>
          <w:szCs w:val="24"/>
        </w:rPr>
        <w:t>р</w:t>
      </w:r>
      <w:r>
        <w:rPr>
          <w:color w:val="000000"/>
          <w:szCs w:val="24"/>
        </w:rPr>
        <w:t>амките на гаранционния срок Изпълнителят е длъжен да приеме за ремонт дефектиралите стоки не по-късно от 7</w:t>
      </w:r>
      <w:r w:rsidR="009A4784">
        <w:rPr>
          <w:color w:val="000000"/>
          <w:szCs w:val="24"/>
          <w:lang w:val="en-US"/>
        </w:rPr>
        <w:t xml:space="preserve"> </w:t>
      </w:r>
      <w:r>
        <w:rPr>
          <w:color w:val="000000"/>
          <w:szCs w:val="24"/>
        </w:rPr>
        <w:t>(</w:t>
      </w:r>
      <w:r w:rsidRPr="00024CB2">
        <w:rPr>
          <w:i/>
          <w:color w:val="000000"/>
          <w:szCs w:val="24"/>
        </w:rPr>
        <w:t>седем</w:t>
      </w:r>
      <w:r>
        <w:rPr>
          <w:color w:val="000000"/>
          <w:szCs w:val="24"/>
        </w:rPr>
        <w:t xml:space="preserve">) работни дни, считано от писменото уведомление </w:t>
      </w:r>
      <w:r w:rsidR="005A29A8">
        <w:rPr>
          <w:color w:val="000000"/>
          <w:szCs w:val="24"/>
        </w:rPr>
        <w:t>на</w:t>
      </w:r>
      <w:r>
        <w:rPr>
          <w:color w:val="000000"/>
          <w:szCs w:val="24"/>
        </w:rPr>
        <w:t xml:space="preserve"> Възложителя.</w:t>
      </w:r>
      <w:r w:rsidR="005A29A8">
        <w:rPr>
          <w:color w:val="000000"/>
          <w:szCs w:val="24"/>
        </w:rPr>
        <w:t xml:space="preserve"> Гаранционният срок на отделните видове артикули </w:t>
      </w:r>
      <w:r w:rsidR="00BC0EC2">
        <w:rPr>
          <w:color w:val="000000"/>
          <w:szCs w:val="24"/>
        </w:rPr>
        <w:t>се определя от Ценовото предложение на Изпълнителя и започва да тече от датата на фактурирането.</w:t>
      </w:r>
      <w:r w:rsidR="005A29A8">
        <w:rPr>
          <w:color w:val="000000"/>
          <w:szCs w:val="24"/>
        </w:rPr>
        <w:t xml:space="preserve"> Всички несъответствия на стоките се отстраня</w:t>
      </w:r>
      <w:r w:rsidR="00BC0EC2">
        <w:rPr>
          <w:color w:val="000000"/>
          <w:szCs w:val="24"/>
        </w:rPr>
        <w:t>ват за сметка на Изпълнителя</w:t>
      </w:r>
      <w:r w:rsidR="00776CE4">
        <w:rPr>
          <w:color w:val="000000"/>
          <w:szCs w:val="24"/>
        </w:rPr>
        <w:t xml:space="preserve">, като срокът за отстраняване на дефектите е </w:t>
      </w:r>
      <w:r w:rsidR="00021E8D">
        <w:rPr>
          <w:color w:val="000000"/>
          <w:szCs w:val="24"/>
        </w:rPr>
        <w:t>най-много</w:t>
      </w:r>
      <w:r w:rsidR="009A4784">
        <w:rPr>
          <w:color w:val="000000"/>
          <w:szCs w:val="24"/>
          <w:lang w:val="en-US"/>
        </w:rPr>
        <w:t xml:space="preserve"> </w:t>
      </w:r>
      <w:r w:rsidR="00320429">
        <w:rPr>
          <w:color w:val="000000"/>
          <w:szCs w:val="24"/>
        </w:rPr>
        <w:t>21</w:t>
      </w:r>
      <w:r w:rsidR="00776CE4">
        <w:rPr>
          <w:color w:val="000000"/>
          <w:szCs w:val="24"/>
        </w:rPr>
        <w:t xml:space="preserve"> (</w:t>
      </w:r>
      <w:r w:rsidR="00320429">
        <w:rPr>
          <w:i/>
          <w:color w:val="000000"/>
          <w:szCs w:val="24"/>
        </w:rPr>
        <w:t>двадесет и един</w:t>
      </w:r>
      <w:r w:rsidR="00776CE4">
        <w:rPr>
          <w:color w:val="000000"/>
          <w:szCs w:val="24"/>
        </w:rPr>
        <w:t xml:space="preserve">) </w:t>
      </w:r>
      <w:r w:rsidR="00320429">
        <w:rPr>
          <w:color w:val="000000"/>
          <w:szCs w:val="24"/>
        </w:rPr>
        <w:t>работни</w:t>
      </w:r>
      <w:r w:rsidR="00776CE4">
        <w:rPr>
          <w:color w:val="000000"/>
          <w:szCs w:val="24"/>
        </w:rPr>
        <w:t xml:space="preserve"> дни от писменото уведомление, а замяната на стоките се извършва </w:t>
      </w:r>
      <w:r w:rsidR="00275074">
        <w:rPr>
          <w:color w:val="000000"/>
          <w:szCs w:val="24"/>
        </w:rPr>
        <w:t>до 7(</w:t>
      </w:r>
      <w:r w:rsidR="00275074" w:rsidRPr="00024CB2">
        <w:rPr>
          <w:i/>
          <w:color w:val="000000"/>
          <w:szCs w:val="24"/>
        </w:rPr>
        <w:t>седем</w:t>
      </w:r>
      <w:r w:rsidR="00275074">
        <w:rPr>
          <w:color w:val="000000"/>
          <w:szCs w:val="24"/>
        </w:rPr>
        <w:t>) работни дни</w:t>
      </w:r>
      <w:r w:rsidR="00776CE4">
        <w:rPr>
          <w:color w:val="000000"/>
          <w:szCs w:val="24"/>
        </w:rPr>
        <w:t>. До пълноценното отстраняване на дефекта/повредата, Изпълнителят осигурява на Възложителя оборотна стока от същия или подобен клас, като гаранционният срок на стоката в процес на поправяне се удължава със срока на ремонта.</w:t>
      </w:r>
    </w:p>
    <w:p w:rsidR="00720C59" w:rsidRPr="00ED055C" w:rsidRDefault="00720C59" w:rsidP="00720C59">
      <w:pPr>
        <w:ind w:firstLine="708"/>
        <w:jc w:val="both"/>
        <w:rPr>
          <w:spacing w:val="-4"/>
        </w:rPr>
      </w:pPr>
      <w:r w:rsidRPr="00ED055C">
        <w:rPr>
          <w:spacing w:val="-4"/>
        </w:rPr>
        <w:t xml:space="preserve">Техническата спецификация следва да се разглежда като неразделна част от </w:t>
      </w:r>
      <w:r w:rsidRPr="00ED055C">
        <w:rPr>
          <w:rStyle w:val="FontStyle31"/>
          <w:sz w:val="24"/>
          <w:szCs w:val="24"/>
        </w:rPr>
        <w:t>документацията по провеждане на обществената поръчка</w:t>
      </w:r>
      <w:r w:rsidR="005E3023">
        <w:rPr>
          <w:rStyle w:val="FontStyle31"/>
          <w:sz w:val="24"/>
          <w:szCs w:val="24"/>
        </w:rPr>
        <w:t xml:space="preserve"> и</w:t>
      </w:r>
      <w:r w:rsidRPr="00ED055C">
        <w:rPr>
          <w:rStyle w:val="FontStyle31"/>
          <w:sz w:val="24"/>
          <w:szCs w:val="24"/>
        </w:rPr>
        <w:t xml:space="preserve"> условията на Договора</w:t>
      </w:r>
      <w:r w:rsidR="005E3023">
        <w:rPr>
          <w:spacing w:val="-4"/>
        </w:rPr>
        <w:t>.</w:t>
      </w:r>
    </w:p>
    <w:p w:rsidR="00720C59" w:rsidRPr="008159A6" w:rsidRDefault="00720C59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  <w:r w:rsidRPr="008159A6">
        <w:rPr>
          <w:rStyle w:val="FontStyle31"/>
          <w:sz w:val="24"/>
          <w:szCs w:val="24"/>
        </w:rPr>
        <w:t>Органи, от които участниците могат да получат необходимата информация за приложимите правила и изисквания относно: условията на труд: министерство на труда и социалната политика (</w:t>
      </w:r>
      <w:hyperlink r:id="rId9" w:history="1">
        <w:r w:rsidRPr="008159A6">
          <w:rPr>
            <w:rStyle w:val="a3"/>
            <w:rFonts w:ascii="Times New Roman" w:hAnsi="Times New Roman"/>
          </w:rPr>
          <w:t>https://www.mlsp.government.bg/</w:t>
        </w:r>
      </w:hyperlink>
      <w:r w:rsidRPr="008159A6">
        <w:rPr>
          <w:rStyle w:val="FontStyle31"/>
          <w:sz w:val="24"/>
          <w:szCs w:val="24"/>
        </w:rPr>
        <w:t>), Главна инспекция по труда (</w:t>
      </w:r>
      <w:hyperlink r:id="rId10" w:history="1">
        <w:r w:rsidRPr="008159A6">
          <w:rPr>
            <w:rStyle w:val="a3"/>
            <w:rFonts w:ascii="Times New Roman" w:hAnsi="Times New Roman"/>
          </w:rPr>
          <w:t>http://www.gli.government.bg/</w:t>
        </w:r>
      </w:hyperlink>
      <w:r w:rsidRPr="008159A6">
        <w:rPr>
          <w:rStyle w:val="FontStyle31"/>
          <w:sz w:val="24"/>
          <w:szCs w:val="24"/>
        </w:rPr>
        <w:t>) и Главна дирекция Пожарна безопасност и защита на населението (</w:t>
      </w:r>
      <w:hyperlink r:id="rId11" w:history="1">
        <w:r w:rsidRPr="008159A6">
          <w:rPr>
            <w:rStyle w:val="a3"/>
            <w:rFonts w:ascii="Times New Roman" w:hAnsi="Times New Roman"/>
          </w:rPr>
          <w:t>https://www.mvr.bg/gdpbzn</w:t>
        </w:r>
      </w:hyperlink>
      <w:r w:rsidRPr="008159A6">
        <w:rPr>
          <w:rStyle w:val="FontStyle31"/>
          <w:sz w:val="24"/>
          <w:szCs w:val="24"/>
        </w:rPr>
        <w:t>); опазване на околната среда: Министерство на околната среда и водите (</w:t>
      </w:r>
      <w:hyperlink r:id="rId12" w:history="1">
        <w:r w:rsidRPr="008159A6">
          <w:rPr>
            <w:rStyle w:val="a3"/>
            <w:rFonts w:ascii="Times New Roman" w:hAnsi="Times New Roman"/>
          </w:rPr>
          <w:t>http://www.moew.government.bg/</w:t>
        </w:r>
      </w:hyperlink>
      <w:r w:rsidR="005E4BFC">
        <w:rPr>
          <w:rStyle w:val="FontStyle31"/>
          <w:sz w:val="24"/>
          <w:szCs w:val="24"/>
        </w:rPr>
        <w:t>)</w:t>
      </w:r>
      <w:r w:rsidRPr="008159A6">
        <w:rPr>
          <w:rStyle w:val="FontStyle31"/>
          <w:sz w:val="24"/>
          <w:szCs w:val="24"/>
        </w:rPr>
        <w:t>.</w:t>
      </w:r>
    </w:p>
    <w:sectPr w:rsidR="00720C59" w:rsidRPr="008159A6" w:rsidSect="00780E7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8" w:right="964" w:bottom="907" w:left="124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D7" w:rsidRDefault="001C39D7">
      <w:r>
        <w:separator/>
      </w:r>
    </w:p>
  </w:endnote>
  <w:endnote w:type="continuationSeparator" w:id="0">
    <w:p w:rsidR="001C39D7" w:rsidRDefault="001C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4735D3" w:rsidP="00786A1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EE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EE2" w:rsidRDefault="00264EE2" w:rsidP="00786A1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1384"/>
      <w:docPartObj>
        <w:docPartGallery w:val="Page Numbers (Bottom of Page)"/>
        <w:docPartUnique/>
      </w:docPartObj>
    </w:sdtPr>
    <w:sdtEndPr/>
    <w:sdtContent>
      <w:p w:rsidR="00970D72" w:rsidRDefault="004735D3">
        <w:pPr>
          <w:pStyle w:val="a6"/>
          <w:jc w:val="right"/>
        </w:pPr>
        <w:r>
          <w:fldChar w:fldCharType="begin"/>
        </w:r>
        <w:r w:rsidR="00970D72">
          <w:instrText>PAGE   \* MERGEFORMAT</w:instrText>
        </w:r>
        <w:r>
          <w:fldChar w:fldCharType="separate"/>
        </w:r>
        <w:r w:rsidR="001C39D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Pr="00B5658D" w:rsidRDefault="004735D3">
    <w:pPr>
      <w:pStyle w:val="a6"/>
      <w:jc w:val="center"/>
      <w:rPr>
        <w:sz w:val="20"/>
        <w:szCs w:val="20"/>
      </w:rPr>
    </w:pPr>
    <w:r w:rsidRPr="00B5658D">
      <w:rPr>
        <w:sz w:val="20"/>
        <w:szCs w:val="20"/>
      </w:rPr>
      <w:fldChar w:fldCharType="begin"/>
    </w:r>
    <w:r w:rsidR="00264EE2" w:rsidRPr="00B5658D">
      <w:rPr>
        <w:sz w:val="20"/>
        <w:szCs w:val="20"/>
      </w:rPr>
      <w:instrText xml:space="preserve"> PAGE   \* MERGEFORMAT </w:instrText>
    </w:r>
    <w:r w:rsidRPr="00B5658D">
      <w:rPr>
        <w:sz w:val="20"/>
        <w:szCs w:val="20"/>
      </w:rPr>
      <w:fldChar w:fldCharType="separate"/>
    </w:r>
    <w:r w:rsidR="00264EE2">
      <w:rPr>
        <w:noProof/>
        <w:sz w:val="20"/>
        <w:szCs w:val="20"/>
      </w:rPr>
      <w:t>1</w:t>
    </w:r>
    <w:r w:rsidRPr="00B5658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D7" w:rsidRDefault="001C39D7">
      <w:r>
        <w:separator/>
      </w:r>
    </w:p>
  </w:footnote>
  <w:footnote w:type="continuationSeparator" w:id="0">
    <w:p w:rsidR="001C39D7" w:rsidRDefault="001C3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264EE2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7" name="Картина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39D7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6" name="Картина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EE2" w:rsidRDefault="00264EE2" w:rsidP="00786A13">
    <w:pPr>
      <w:jc w:val="both"/>
      <w:rPr>
        <w:sz w:val="12"/>
      </w:rPr>
    </w:pPr>
  </w:p>
  <w:p w:rsidR="00264EE2" w:rsidRDefault="001C39D7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w:pict>
        <v:line id="Право съединение 5" o:spid="_x0000_s205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G+RQIAAE8EAAAOAAAAZHJzL2Uyb0RvYy54bWysVN1u0zAUvkfiHazcd0m6bOuiphNqWm4G&#10;VNp4ANd2GgvHtmyvaYWQ4JaX4BUQYhI34xnSN+LYbaoNbhCiF/bxz/nyne987vhq0wi0ZsZyJYso&#10;PUkixCRRlMtVEb29nQ9GEbIOS4qFkqyItsxGV5Pnz8atztlQ1UpQZhCASJu3uohq53Qex5bUrMH2&#10;RGkm4bBSpsEOlmYVU4NbQG9EPEyS87hVhmqjCLMWdsv9YTQJ+FXFiHtTVZY5JIoIuLkwmjAu/RhP&#10;xjhfGaxrTg408D+waDCX8NEjVIkdRneG/wHVcGKUVZU7IaqJVVVxwkINUE2a/FbNTY01C7WAOFYf&#10;ZbL/D5a8Xi8M4rSIziIkcQMt6r7sPnZfu2/dT7T7tPvc3Xffux/dA8wPMN+jMy9aq20OuVO5ML5s&#10;spE3+lqRdxZJNa2xXLFA/narATH1GfGTFL+wGj69bF8pCnfwnVNBwU1lGg8J2qBNaNT22Ci2cYjA&#10;ZjY8HQ4vgDHpz2Kc94naWPeSqQb5oIgEl15DnOP1tXWeCM77K35bqjkXIvhASNSCEMkoAauQRoMq&#10;zvCQbJXg1F/0KdasllNh0Bp7V4VfqBBOHl8z6k7SAFwzTGeH2GEu9jEQEdLjQVlA7RDtbfP+Mrmc&#10;jWajbJANz2eDLCnLwYv5NBucz9OLs/K0nE7L9IOnlmZ5zSll0rPrLZxmf2eRw2Pam+9o4qMk8VP0&#10;oB2Q7edAOvTVt3JviqWi24Xp+w2uDZcPL8w/i8driB//D0x+AQAA//8DAFBLAwQUAAYACAAAACEA&#10;BcEtuNoAAAAJAQAADwAAAGRycy9kb3ducmV2LnhtbExPTU/DMAy9I/EfIiNxYyljm0ppOk1InLiM&#10;DRBHrzFNoXGqJuvKv8eIA9z87Of3Ua4n36mRhtgGNnA9y0AR18G23Bh43j9c5aBiQrbYBSYDXxRh&#10;XZ2flVjYcOInGnepUSLCsUADLqW+0DrWjjzGWeiJ5fYeBo9J4NBoO+BJxH2n51m20h5bFgeHPd07&#10;qj93Ry8xPihvlm/jYnjZbh9vN68ObyZnzOXFtLkDlWhKf2T4iS8/UEmmQziyjaoTnGfSJckwlwpC&#10;yBerJajD70JXpf7foPoGAAD//wMAUEsBAi0AFAAGAAgAAAAhALaDOJL+AAAA4QEAABMAAAAAAAAA&#10;AAAAAAAAAAAAAFtDb250ZW50X1R5cGVzXS54bWxQSwECLQAUAAYACAAAACEAOP0h/9YAAACUAQAA&#10;CwAAAAAAAAAAAAAAAAAvAQAAX3JlbHMvLnJlbHNQSwECLQAUAAYACAAAACEASNWRvkUCAABPBAAA&#10;DgAAAAAAAAAAAAAAAAAuAgAAZHJzL2Uyb0RvYy54bWxQSwECLQAUAAYACAAAACEABcEtuNoAAAAJ&#10;AQAADwAAAAAAAAAAAAAAAACfBAAAZHJzL2Rvd25yZXYueG1sUEsFBgAAAAAEAAQA8wAAAKYFAAAA&#10;AA==&#10;" strokeweight="4pt">
          <v:stroke linestyle="thickBetweenThin"/>
        </v:line>
      </w:pict>
    </w:r>
  </w:p>
  <w:p w:rsidR="00264EE2" w:rsidRDefault="00264EE2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64EE2" w:rsidRDefault="00264EE2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264EE2" w:rsidP="00786A13">
    <w:pPr>
      <w:jc w:val="both"/>
      <w:rPr>
        <w:sz w:val="12"/>
      </w:rPr>
    </w:pPr>
  </w:p>
  <w:p w:rsidR="00264EE2" w:rsidRDefault="00264EE2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1270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39D7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117pt;margin-top:.1pt;width:282.75pt;height:18pt;z-index:251664384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EE2" w:rsidRDefault="00264EE2" w:rsidP="00786A13">
    <w:pPr>
      <w:jc w:val="both"/>
      <w:rPr>
        <w:sz w:val="12"/>
      </w:rPr>
    </w:pPr>
  </w:p>
  <w:p w:rsidR="00264EE2" w:rsidRDefault="00264EE2" w:rsidP="00786A13">
    <w:pPr>
      <w:jc w:val="both"/>
      <w:rPr>
        <w:sz w:val="12"/>
      </w:rPr>
    </w:pPr>
  </w:p>
  <w:p w:rsidR="00264EE2" w:rsidRDefault="001C39D7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w:pict>
        <v:line id="Право съединение 2" o:spid="_x0000_s2055" style="position:absolute;left:0;text-align:left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kjRgIAAE8EAAAOAAAAZHJzL2Uyb0RvYy54bWysVM1uEzEQviPxDpbv6f5026arbiqUTbgU&#10;iNTyAI7Xm7Xw2pbtZBMhJLjyErwCQlTiUp5h+0aMnR+lcEGIPdhje+bzNzOf9+p63Qq0YsZyJQuc&#10;nMQYMUlVxeWiwG/vpoMhRtYRWRGhJCvwhll8PXr+7KrTOUtVo0TFDAIQafNOF7hxTudRZGnDWmJP&#10;lGYSDmtlWuJgaRZRZUgH6K2I0jg+jzplKm0UZdbCbrk9xKOAX9eMujd1bZlDosDAzYXRhHHux2h0&#10;RfKFIbrhdEeD/AOLlnAJlx6gSuIIWhr+B1TLqVFW1e6EqjZSdc0pCzlANkn8Wza3DdEs5ALFsfpQ&#10;Jvv/YOnr1cwgXhU4xUiSFlrUf3n82H/tv/U/0eOnx8/9ff+9/9E/wPwA8z1KfdE6bXOIHcuZ8WnT&#10;tbzVN4q+s0iqcUPkggXydxsNiImPiJ6E+IXVcPW8e6Uq8CFLp0IF17VpPSTUBq1DozaHRrG1QxQ2&#10;s/Q0TS/OMKL7s4jk+0BtrHvJVIu8UWDBpa8hycnqxjpPhOR7F78t1ZQLEXQgJOoKfBYPY5AKbTVU&#10;xRkegq0SvPKOPsSaxXwsDFoRr6rwhQzh5NjNqKWsAnDDSDXZ2Y5wsbWBiJAeD9ICajtrK5v3l/Hl&#10;ZDgZZoMsPZ8MsrgsBy+m42xwPk0uzsrTcjwukw+eWpLlDa8qJj27vYST7O8ksntMW/EdRHwoSfQU&#10;PdQOyO7nQDr01bdyK4q5qjYzs+83qDY4716YfxbHa7CP/wOjX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AxmuSNGAgAATwQA&#10;AA4AAAAAAAAAAAAAAAAALgIAAGRycy9lMm9Eb2MueG1sUEsBAi0AFAAGAAgAAAAhAAXBLbjaAAAA&#10;CQEAAA8AAAAAAAAAAAAAAAAAoAQAAGRycy9kb3ducmV2LnhtbFBLBQYAAAAABAAEAPMAAACnBQAA&#10;AAA=&#10;" strokeweight="4pt">
          <v:stroke linestyle="thickBetweenThin"/>
        </v:line>
      </w:pict>
    </w:r>
  </w:p>
  <w:p w:rsidR="00264EE2" w:rsidRDefault="00264EE2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64EE2" w:rsidRDefault="00264EE2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264EE2" w:rsidRDefault="00264E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5EB3A2"/>
    <w:lvl w:ilvl="0">
      <w:numFmt w:val="bullet"/>
      <w:lvlText w:val="*"/>
      <w:lvlJc w:val="left"/>
    </w:lvl>
  </w:abstractNum>
  <w:abstractNum w:abstractNumId="1">
    <w:nsid w:val="0B9339D3"/>
    <w:multiLevelType w:val="hybridMultilevel"/>
    <w:tmpl w:val="083A1C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136EA6"/>
    <w:multiLevelType w:val="multilevel"/>
    <w:tmpl w:val="42C6329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D59C6"/>
    <w:multiLevelType w:val="multilevel"/>
    <w:tmpl w:val="7180BE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9696459"/>
    <w:multiLevelType w:val="hybridMultilevel"/>
    <w:tmpl w:val="9DAC4BB8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93B56"/>
    <w:multiLevelType w:val="hybridMultilevel"/>
    <w:tmpl w:val="3D22BB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D6F45"/>
    <w:multiLevelType w:val="hybridMultilevel"/>
    <w:tmpl w:val="E1121D18"/>
    <w:lvl w:ilvl="0" w:tplc="ACC47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515B40"/>
    <w:multiLevelType w:val="hybridMultilevel"/>
    <w:tmpl w:val="CF4636CE"/>
    <w:lvl w:ilvl="0" w:tplc="0402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929" w:hanging="360"/>
      </w:pPr>
    </w:lvl>
    <w:lvl w:ilvl="2" w:tplc="0402001B" w:tentative="1">
      <w:start w:val="1"/>
      <w:numFmt w:val="lowerRoman"/>
      <w:lvlText w:val="%3."/>
      <w:lvlJc w:val="right"/>
      <w:pPr>
        <w:ind w:left="2649" w:hanging="180"/>
      </w:pPr>
    </w:lvl>
    <w:lvl w:ilvl="3" w:tplc="0402000F" w:tentative="1">
      <w:start w:val="1"/>
      <w:numFmt w:val="decimal"/>
      <w:lvlText w:val="%4."/>
      <w:lvlJc w:val="left"/>
      <w:pPr>
        <w:ind w:left="3369" w:hanging="360"/>
      </w:pPr>
    </w:lvl>
    <w:lvl w:ilvl="4" w:tplc="04020019" w:tentative="1">
      <w:start w:val="1"/>
      <w:numFmt w:val="lowerLetter"/>
      <w:lvlText w:val="%5."/>
      <w:lvlJc w:val="left"/>
      <w:pPr>
        <w:ind w:left="4089" w:hanging="360"/>
      </w:pPr>
    </w:lvl>
    <w:lvl w:ilvl="5" w:tplc="0402001B" w:tentative="1">
      <w:start w:val="1"/>
      <w:numFmt w:val="lowerRoman"/>
      <w:lvlText w:val="%6."/>
      <w:lvlJc w:val="right"/>
      <w:pPr>
        <w:ind w:left="4809" w:hanging="180"/>
      </w:pPr>
    </w:lvl>
    <w:lvl w:ilvl="6" w:tplc="0402000F" w:tentative="1">
      <w:start w:val="1"/>
      <w:numFmt w:val="decimal"/>
      <w:lvlText w:val="%7."/>
      <w:lvlJc w:val="left"/>
      <w:pPr>
        <w:ind w:left="5529" w:hanging="360"/>
      </w:pPr>
    </w:lvl>
    <w:lvl w:ilvl="7" w:tplc="04020019" w:tentative="1">
      <w:start w:val="1"/>
      <w:numFmt w:val="lowerLetter"/>
      <w:lvlText w:val="%8."/>
      <w:lvlJc w:val="left"/>
      <w:pPr>
        <w:ind w:left="6249" w:hanging="360"/>
      </w:pPr>
    </w:lvl>
    <w:lvl w:ilvl="8" w:tplc="0402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8">
    <w:nsid w:val="756E5E8A"/>
    <w:multiLevelType w:val="hybridMultilevel"/>
    <w:tmpl w:val="4ADC4F78"/>
    <w:lvl w:ilvl="0" w:tplc="040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">
    <w:nsid w:val="78CE42C8"/>
    <w:multiLevelType w:val="multilevel"/>
    <w:tmpl w:val="CEF070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7BB1791C"/>
    <w:multiLevelType w:val="multilevel"/>
    <w:tmpl w:val="A8BA6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44A"/>
    <w:rsid w:val="0000555D"/>
    <w:rsid w:val="0001416D"/>
    <w:rsid w:val="00015CCE"/>
    <w:rsid w:val="00016CB0"/>
    <w:rsid w:val="00021E8D"/>
    <w:rsid w:val="0002316A"/>
    <w:rsid w:val="00024CB2"/>
    <w:rsid w:val="00041BDA"/>
    <w:rsid w:val="00083E55"/>
    <w:rsid w:val="00090340"/>
    <w:rsid w:val="0009207E"/>
    <w:rsid w:val="0009493A"/>
    <w:rsid w:val="00096D94"/>
    <w:rsid w:val="000A0003"/>
    <w:rsid w:val="000A0733"/>
    <w:rsid w:val="000B3928"/>
    <w:rsid w:val="000B3F09"/>
    <w:rsid w:val="000C4C2F"/>
    <w:rsid w:val="000D468C"/>
    <w:rsid w:val="000E0008"/>
    <w:rsid w:val="000E06D8"/>
    <w:rsid w:val="000E7BA4"/>
    <w:rsid w:val="000F43B6"/>
    <w:rsid w:val="001023D1"/>
    <w:rsid w:val="00104618"/>
    <w:rsid w:val="00104BDA"/>
    <w:rsid w:val="00105950"/>
    <w:rsid w:val="001112DF"/>
    <w:rsid w:val="00117C9D"/>
    <w:rsid w:val="00126B31"/>
    <w:rsid w:val="00135FE3"/>
    <w:rsid w:val="00143FC1"/>
    <w:rsid w:val="001452B6"/>
    <w:rsid w:val="001457FF"/>
    <w:rsid w:val="0016101B"/>
    <w:rsid w:val="00163CC2"/>
    <w:rsid w:val="00170F8B"/>
    <w:rsid w:val="001811A0"/>
    <w:rsid w:val="00181E88"/>
    <w:rsid w:val="00187B42"/>
    <w:rsid w:val="00197316"/>
    <w:rsid w:val="001A1731"/>
    <w:rsid w:val="001A3C05"/>
    <w:rsid w:val="001B04D7"/>
    <w:rsid w:val="001C39D7"/>
    <w:rsid w:val="001D0B21"/>
    <w:rsid w:val="001D0C98"/>
    <w:rsid w:val="001D1CBA"/>
    <w:rsid w:val="001D7498"/>
    <w:rsid w:val="001E5FED"/>
    <w:rsid w:val="001F1B11"/>
    <w:rsid w:val="001F6C78"/>
    <w:rsid w:val="001F7B9B"/>
    <w:rsid w:val="0020484D"/>
    <w:rsid w:val="0020555C"/>
    <w:rsid w:val="00205769"/>
    <w:rsid w:val="00205A91"/>
    <w:rsid w:val="00217BEB"/>
    <w:rsid w:val="00223C17"/>
    <w:rsid w:val="00224CFA"/>
    <w:rsid w:val="0023300B"/>
    <w:rsid w:val="00235E89"/>
    <w:rsid w:val="00236EBA"/>
    <w:rsid w:val="00237E62"/>
    <w:rsid w:val="0024527A"/>
    <w:rsid w:val="00257559"/>
    <w:rsid w:val="002620AA"/>
    <w:rsid w:val="002621FB"/>
    <w:rsid w:val="002624DC"/>
    <w:rsid w:val="00264EE2"/>
    <w:rsid w:val="002666C7"/>
    <w:rsid w:val="00271807"/>
    <w:rsid w:val="00275074"/>
    <w:rsid w:val="002765BC"/>
    <w:rsid w:val="002A3B5D"/>
    <w:rsid w:val="002A6E30"/>
    <w:rsid w:val="002A7128"/>
    <w:rsid w:val="002B4829"/>
    <w:rsid w:val="002B6237"/>
    <w:rsid w:val="002E342E"/>
    <w:rsid w:val="002E6655"/>
    <w:rsid w:val="002F1874"/>
    <w:rsid w:val="002F4305"/>
    <w:rsid w:val="0030393C"/>
    <w:rsid w:val="00310ED6"/>
    <w:rsid w:val="00314CE1"/>
    <w:rsid w:val="003203D7"/>
    <w:rsid w:val="00320429"/>
    <w:rsid w:val="00325473"/>
    <w:rsid w:val="00350554"/>
    <w:rsid w:val="003656AE"/>
    <w:rsid w:val="00367145"/>
    <w:rsid w:val="003808F4"/>
    <w:rsid w:val="00382D94"/>
    <w:rsid w:val="00395107"/>
    <w:rsid w:val="003B0F48"/>
    <w:rsid w:val="003B13D4"/>
    <w:rsid w:val="003C0424"/>
    <w:rsid w:val="003C7714"/>
    <w:rsid w:val="003F5D88"/>
    <w:rsid w:val="00413558"/>
    <w:rsid w:val="00416C33"/>
    <w:rsid w:val="00421ECD"/>
    <w:rsid w:val="00435B18"/>
    <w:rsid w:val="00456A69"/>
    <w:rsid w:val="0046298C"/>
    <w:rsid w:val="0047003B"/>
    <w:rsid w:val="004735D3"/>
    <w:rsid w:val="004741C2"/>
    <w:rsid w:val="0047661C"/>
    <w:rsid w:val="00491EF5"/>
    <w:rsid w:val="0049227A"/>
    <w:rsid w:val="004B52CB"/>
    <w:rsid w:val="004B64CD"/>
    <w:rsid w:val="004B6F91"/>
    <w:rsid w:val="004D1EC2"/>
    <w:rsid w:val="004D6EDB"/>
    <w:rsid w:val="004F0DC8"/>
    <w:rsid w:val="00506046"/>
    <w:rsid w:val="005144D0"/>
    <w:rsid w:val="005249AB"/>
    <w:rsid w:val="0054126E"/>
    <w:rsid w:val="005506D4"/>
    <w:rsid w:val="00550D1E"/>
    <w:rsid w:val="005535FD"/>
    <w:rsid w:val="00557A05"/>
    <w:rsid w:val="00560A74"/>
    <w:rsid w:val="00572D6E"/>
    <w:rsid w:val="00573119"/>
    <w:rsid w:val="005828D6"/>
    <w:rsid w:val="00586633"/>
    <w:rsid w:val="00591DB1"/>
    <w:rsid w:val="00594E78"/>
    <w:rsid w:val="005A29A8"/>
    <w:rsid w:val="005C11D9"/>
    <w:rsid w:val="005D3CEB"/>
    <w:rsid w:val="005D667A"/>
    <w:rsid w:val="005E3023"/>
    <w:rsid w:val="005E4BFC"/>
    <w:rsid w:val="005E4C0E"/>
    <w:rsid w:val="005E67B1"/>
    <w:rsid w:val="005E7586"/>
    <w:rsid w:val="006214C3"/>
    <w:rsid w:val="00633C00"/>
    <w:rsid w:val="006442C0"/>
    <w:rsid w:val="00650A44"/>
    <w:rsid w:val="00651A32"/>
    <w:rsid w:val="00663BB0"/>
    <w:rsid w:val="0066762A"/>
    <w:rsid w:val="00674A5B"/>
    <w:rsid w:val="00677962"/>
    <w:rsid w:val="006822DC"/>
    <w:rsid w:val="006A1D36"/>
    <w:rsid w:val="006A1D81"/>
    <w:rsid w:val="006B2157"/>
    <w:rsid w:val="00700503"/>
    <w:rsid w:val="00700D05"/>
    <w:rsid w:val="007072DE"/>
    <w:rsid w:val="007105D9"/>
    <w:rsid w:val="00720C59"/>
    <w:rsid w:val="0072663E"/>
    <w:rsid w:val="007269CE"/>
    <w:rsid w:val="00726DF3"/>
    <w:rsid w:val="00733BD7"/>
    <w:rsid w:val="007517E8"/>
    <w:rsid w:val="0075180F"/>
    <w:rsid w:val="00751DE8"/>
    <w:rsid w:val="00754FA8"/>
    <w:rsid w:val="00776CE4"/>
    <w:rsid w:val="007771A5"/>
    <w:rsid w:val="00780E70"/>
    <w:rsid w:val="007829F5"/>
    <w:rsid w:val="007831F7"/>
    <w:rsid w:val="00786646"/>
    <w:rsid w:val="00786A13"/>
    <w:rsid w:val="00792740"/>
    <w:rsid w:val="00797292"/>
    <w:rsid w:val="007A07F0"/>
    <w:rsid w:val="007A2D0A"/>
    <w:rsid w:val="007A7DE4"/>
    <w:rsid w:val="007C5731"/>
    <w:rsid w:val="007C6881"/>
    <w:rsid w:val="007C7CFF"/>
    <w:rsid w:val="007F3E99"/>
    <w:rsid w:val="007F514A"/>
    <w:rsid w:val="0080772D"/>
    <w:rsid w:val="008122D2"/>
    <w:rsid w:val="00814BCB"/>
    <w:rsid w:val="00815E1A"/>
    <w:rsid w:val="00823F68"/>
    <w:rsid w:val="008253C4"/>
    <w:rsid w:val="0082773B"/>
    <w:rsid w:val="00830598"/>
    <w:rsid w:val="008331BB"/>
    <w:rsid w:val="00842F75"/>
    <w:rsid w:val="00847B33"/>
    <w:rsid w:val="00850A01"/>
    <w:rsid w:val="00853273"/>
    <w:rsid w:val="00856199"/>
    <w:rsid w:val="008610E2"/>
    <w:rsid w:val="008665B4"/>
    <w:rsid w:val="00872644"/>
    <w:rsid w:val="00875BC7"/>
    <w:rsid w:val="008765D7"/>
    <w:rsid w:val="008946B4"/>
    <w:rsid w:val="008A14FF"/>
    <w:rsid w:val="008A6A82"/>
    <w:rsid w:val="008B144A"/>
    <w:rsid w:val="008B146B"/>
    <w:rsid w:val="008D08B1"/>
    <w:rsid w:val="008D194D"/>
    <w:rsid w:val="008D3A38"/>
    <w:rsid w:val="008E233B"/>
    <w:rsid w:val="008F32D7"/>
    <w:rsid w:val="00915007"/>
    <w:rsid w:val="00916BDB"/>
    <w:rsid w:val="00936107"/>
    <w:rsid w:val="009449A0"/>
    <w:rsid w:val="00956EA7"/>
    <w:rsid w:val="0096335A"/>
    <w:rsid w:val="00967F89"/>
    <w:rsid w:val="00970D72"/>
    <w:rsid w:val="0097351B"/>
    <w:rsid w:val="00985604"/>
    <w:rsid w:val="009A0BE8"/>
    <w:rsid w:val="009A4784"/>
    <w:rsid w:val="009A4C32"/>
    <w:rsid w:val="009C2594"/>
    <w:rsid w:val="009D7141"/>
    <w:rsid w:val="009E01D8"/>
    <w:rsid w:val="009E7851"/>
    <w:rsid w:val="009F6B80"/>
    <w:rsid w:val="00A13ACA"/>
    <w:rsid w:val="00A155D8"/>
    <w:rsid w:val="00A164AF"/>
    <w:rsid w:val="00A40B57"/>
    <w:rsid w:val="00A47471"/>
    <w:rsid w:val="00A53C94"/>
    <w:rsid w:val="00A55026"/>
    <w:rsid w:val="00A550E7"/>
    <w:rsid w:val="00AA01A3"/>
    <w:rsid w:val="00AA316B"/>
    <w:rsid w:val="00AA4B16"/>
    <w:rsid w:val="00AB173A"/>
    <w:rsid w:val="00AC46D4"/>
    <w:rsid w:val="00AC4C2F"/>
    <w:rsid w:val="00AC7468"/>
    <w:rsid w:val="00AF4307"/>
    <w:rsid w:val="00B11555"/>
    <w:rsid w:val="00B115C6"/>
    <w:rsid w:val="00B20AA9"/>
    <w:rsid w:val="00B236BE"/>
    <w:rsid w:val="00B37ECC"/>
    <w:rsid w:val="00B42945"/>
    <w:rsid w:val="00B44AEA"/>
    <w:rsid w:val="00B601A3"/>
    <w:rsid w:val="00B7159C"/>
    <w:rsid w:val="00B905BC"/>
    <w:rsid w:val="00B93E24"/>
    <w:rsid w:val="00B95724"/>
    <w:rsid w:val="00B96C13"/>
    <w:rsid w:val="00BB63A6"/>
    <w:rsid w:val="00BC0577"/>
    <w:rsid w:val="00BC0EC2"/>
    <w:rsid w:val="00BD7674"/>
    <w:rsid w:val="00BE6A70"/>
    <w:rsid w:val="00BF146C"/>
    <w:rsid w:val="00BF29F0"/>
    <w:rsid w:val="00BF3A59"/>
    <w:rsid w:val="00C0380D"/>
    <w:rsid w:val="00C164AB"/>
    <w:rsid w:val="00C168EC"/>
    <w:rsid w:val="00C178DB"/>
    <w:rsid w:val="00C23F85"/>
    <w:rsid w:val="00C443E7"/>
    <w:rsid w:val="00C50A7F"/>
    <w:rsid w:val="00C62092"/>
    <w:rsid w:val="00C627A1"/>
    <w:rsid w:val="00C723BB"/>
    <w:rsid w:val="00C819E4"/>
    <w:rsid w:val="00C91F6E"/>
    <w:rsid w:val="00C931E4"/>
    <w:rsid w:val="00C94A70"/>
    <w:rsid w:val="00CA3B09"/>
    <w:rsid w:val="00CA4D3B"/>
    <w:rsid w:val="00CB0E5E"/>
    <w:rsid w:val="00CC17EE"/>
    <w:rsid w:val="00CC208C"/>
    <w:rsid w:val="00CC4CFC"/>
    <w:rsid w:val="00D11697"/>
    <w:rsid w:val="00D229F9"/>
    <w:rsid w:val="00D276FE"/>
    <w:rsid w:val="00D312B8"/>
    <w:rsid w:val="00D31552"/>
    <w:rsid w:val="00D31A79"/>
    <w:rsid w:val="00D615C4"/>
    <w:rsid w:val="00D63A06"/>
    <w:rsid w:val="00D65B39"/>
    <w:rsid w:val="00D72C33"/>
    <w:rsid w:val="00D73961"/>
    <w:rsid w:val="00D87566"/>
    <w:rsid w:val="00D97481"/>
    <w:rsid w:val="00DA42CC"/>
    <w:rsid w:val="00DB4EC0"/>
    <w:rsid w:val="00DB772B"/>
    <w:rsid w:val="00DC4719"/>
    <w:rsid w:val="00DD5986"/>
    <w:rsid w:val="00DE2D4F"/>
    <w:rsid w:val="00DE37D8"/>
    <w:rsid w:val="00DE68A5"/>
    <w:rsid w:val="00DF4A46"/>
    <w:rsid w:val="00E13D32"/>
    <w:rsid w:val="00E2113E"/>
    <w:rsid w:val="00E24F2B"/>
    <w:rsid w:val="00E259E5"/>
    <w:rsid w:val="00E40661"/>
    <w:rsid w:val="00E5720F"/>
    <w:rsid w:val="00E61BA1"/>
    <w:rsid w:val="00E63352"/>
    <w:rsid w:val="00E70CB8"/>
    <w:rsid w:val="00E84884"/>
    <w:rsid w:val="00E8579F"/>
    <w:rsid w:val="00E9647D"/>
    <w:rsid w:val="00E9691D"/>
    <w:rsid w:val="00EA309B"/>
    <w:rsid w:val="00ED0D3B"/>
    <w:rsid w:val="00EF33FD"/>
    <w:rsid w:val="00EF71AA"/>
    <w:rsid w:val="00EF7CB0"/>
    <w:rsid w:val="00F00524"/>
    <w:rsid w:val="00F00B36"/>
    <w:rsid w:val="00F00E36"/>
    <w:rsid w:val="00F05364"/>
    <w:rsid w:val="00F05969"/>
    <w:rsid w:val="00F123DC"/>
    <w:rsid w:val="00F27123"/>
    <w:rsid w:val="00F52A04"/>
    <w:rsid w:val="00F6092E"/>
    <w:rsid w:val="00F66815"/>
    <w:rsid w:val="00F6769E"/>
    <w:rsid w:val="00F776C0"/>
    <w:rsid w:val="00FA40C8"/>
    <w:rsid w:val="00FE2920"/>
    <w:rsid w:val="00FF0C2D"/>
    <w:rsid w:val="00FF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uiPriority w:val="99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customStyle="1" w:styleId="title22">
    <w:name w:val="title22"/>
    <w:basedOn w:val="a"/>
    <w:rsid w:val="00830598"/>
    <w:pPr>
      <w:widowControl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24">
    <w:name w:val="title24"/>
    <w:basedOn w:val="a"/>
    <w:rsid w:val="00830598"/>
    <w:pPr>
      <w:widowControl/>
      <w:suppressAutoHyphens w:val="0"/>
      <w:ind w:firstLine="1155"/>
    </w:pPr>
    <w:rPr>
      <w:b/>
      <w:bCs/>
      <w:szCs w:val="24"/>
    </w:rPr>
  </w:style>
  <w:style w:type="character" w:customStyle="1" w:styleId="samedocreference2">
    <w:name w:val="samedocreference2"/>
    <w:basedOn w:val="a0"/>
    <w:rsid w:val="00830598"/>
    <w:rPr>
      <w:i w:val="0"/>
      <w:iCs w:val="0"/>
      <w:color w:val="8B0000"/>
      <w:u w:val="single"/>
    </w:rPr>
  </w:style>
  <w:style w:type="paragraph" w:styleId="af1">
    <w:name w:val="endnote text"/>
    <w:basedOn w:val="a"/>
    <w:link w:val="af2"/>
    <w:uiPriority w:val="99"/>
    <w:semiHidden/>
    <w:unhideWhenUsed/>
    <w:rsid w:val="00135FE3"/>
    <w:rPr>
      <w:sz w:val="20"/>
    </w:rPr>
  </w:style>
  <w:style w:type="character" w:customStyle="1" w:styleId="af2">
    <w:name w:val="Текст на бележка в края Знак"/>
    <w:basedOn w:val="a0"/>
    <w:link w:val="af1"/>
    <w:uiPriority w:val="99"/>
    <w:semiHidden/>
    <w:rsid w:val="00135FE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3">
    <w:name w:val="endnote reference"/>
    <w:basedOn w:val="a0"/>
    <w:uiPriority w:val="99"/>
    <w:semiHidden/>
    <w:unhideWhenUsed/>
    <w:rsid w:val="00135FE3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32547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25473"/>
    <w:rPr>
      <w:sz w:val="20"/>
    </w:rPr>
  </w:style>
  <w:style w:type="character" w:customStyle="1" w:styleId="af6">
    <w:name w:val="Текст на коментар Знак"/>
    <w:basedOn w:val="a0"/>
    <w:link w:val="af5"/>
    <w:uiPriority w:val="99"/>
    <w:semiHidden/>
    <w:rsid w:val="0032547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5473"/>
    <w:rPr>
      <w:b/>
      <w:bCs/>
    </w:rPr>
  </w:style>
  <w:style w:type="character" w:customStyle="1" w:styleId="af8">
    <w:name w:val="Предмет на коментар Знак"/>
    <w:basedOn w:val="af6"/>
    <w:link w:val="af7"/>
    <w:uiPriority w:val="99"/>
    <w:semiHidden/>
    <w:rsid w:val="00325473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Style6">
    <w:name w:val="Style6"/>
    <w:basedOn w:val="a"/>
    <w:rsid w:val="00720C59"/>
    <w:pPr>
      <w:suppressAutoHyphens w:val="0"/>
      <w:autoSpaceDE w:val="0"/>
      <w:autoSpaceDN w:val="0"/>
      <w:adjustRightInd w:val="0"/>
      <w:spacing w:line="277" w:lineRule="exact"/>
      <w:ind w:firstLine="598"/>
      <w:jc w:val="both"/>
    </w:pPr>
    <w:rPr>
      <w:rFonts w:ascii="Microsoft Sans Serif" w:hAnsi="Microsoft Sans Serif"/>
      <w:szCs w:val="24"/>
    </w:rPr>
  </w:style>
  <w:style w:type="paragraph" w:customStyle="1" w:styleId="Style28">
    <w:name w:val="Style28"/>
    <w:basedOn w:val="a"/>
    <w:rsid w:val="00720C59"/>
    <w:pPr>
      <w:suppressAutoHyphens w:val="0"/>
      <w:autoSpaceDE w:val="0"/>
      <w:autoSpaceDN w:val="0"/>
      <w:adjustRightInd w:val="0"/>
      <w:spacing w:line="281" w:lineRule="exact"/>
      <w:ind w:hanging="353"/>
    </w:pPr>
    <w:rPr>
      <w:rFonts w:ascii="Microsoft Sans Serif" w:hAnsi="Microsoft Sans Serif"/>
      <w:szCs w:val="24"/>
    </w:rPr>
  </w:style>
  <w:style w:type="paragraph" w:customStyle="1" w:styleId="Style8">
    <w:name w:val="Style8"/>
    <w:basedOn w:val="a"/>
    <w:rsid w:val="00720C59"/>
    <w:pPr>
      <w:suppressAutoHyphens w:val="0"/>
      <w:autoSpaceDE w:val="0"/>
      <w:autoSpaceDN w:val="0"/>
      <w:adjustRightInd w:val="0"/>
      <w:spacing w:line="278" w:lineRule="exact"/>
      <w:ind w:firstLine="713"/>
      <w:jc w:val="both"/>
    </w:pPr>
    <w:rPr>
      <w:rFonts w:ascii="Microsoft Sans Serif" w:hAnsi="Microsoft Sans Seri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uiPriority w:val="99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  <w:lang w:val="x-none" w:eastAsia="x-none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customStyle="1" w:styleId="title22">
    <w:name w:val="title22"/>
    <w:basedOn w:val="a"/>
    <w:rsid w:val="00830598"/>
    <w:pPr>
      <w:widowControl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24">
    <w:name w:val="title24"/>
    <w:basedOn w:val="a"/>
    <w:rsid w:val="00830598"/>
    <w:pPr>
      <w:widowControl/>
      <w:suppressAutoHyphens w:val="0"/>
      <w:ind w:firstLine="1155"/>
    </w:pPr>
    <w:rPr>
      <w:b/>
      <w:bCs/>
      <w:szCs w:val="24"/>
    </w:rPr>
  </w:style>
  <w:style w:type="character" w:customStyle="1" w:styleId="samedocreference2">
    <w:name w:val="samedocreference2"/>
    <w:basedOn w:val="a0"/>
    <w:rsid w:val="00830598"/>
    <w:rPr>
      <w:i w:val="0"/>
      <w:iCs w:val="0"/>
      <w:color w:val="8B0000"/>
      <w:u w:val="single"/>
    </w:rPr>
  </w:style>
  <w:style w:type="paragraph" w:styleId="af1">
    <w:name w:val="endnote text"/>
    <w:basedOn w:val="a"/>
    <w:link w:val="af2"/>
    <w:uiPriority w:val="99"/>
    <w:semiHidden/>
    <w:unhideWhenUsed/>
    <w:rsid w:val="00135FE3"/>
    <w:rPr>
      <w:sz w:val="20"/>
    </w:rPr>
  </w:style>
  <w:style w:type="character" w:customStyle="1" w:styleId="af2">
    <w:name w:val="Текст на бележка в края Знак"/>
    <w:basedOn w:val="a0"/>
    <w:link w:val="af1"/>
    <w:uiPriority w:val="99"/>
    <w:semiHidden/>
    <w:rsid w:val="00135FE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3">
    <w:name w:val="endnote reference"/>
    <w:basedOn w:val="a0"/>
    <w:uiPriority w:val="99"/>
    <w:semiHidden/>
    <w:unhideWhenUsed/>
    <w:rsid w:val="00135FE3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32547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25473"/>
    <w:rPr>
      <w:sz w:val="20"/>
    </w:rPr>
  </w:style>
  <w:style w:type="character" w:customStyle="1" w:styleId="af6">
    <w:name w:val="Текст на коментар Знак"/>
    <w:basedOn w:val="a0"/>
    <w:link w:val="af5"/>
    <w:uiPriority w:val="99"/>
    <w:semiHidden/>
    <w:rsid w:val="0032547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5473"/>
    <w:rPr>
      <w:b/>
      <w:bCs/>
    </w:rPr>
  </w:style>
  <w:style w:type="character" w:customStyle="1" w:styleId="af8">
    <w:name w:val="Предмет на коментар Знак"/>
    <w:basedOn w:val="af6"/>
    <w:link w:val="af7"/>
    <w:uiPriority w:val="99"/>
    <w:semiHidden/>
    <w:rsid w:val="00325473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Style6">
    <w:name w:val="Style6"/>
    <w:basedOn w:val="a"/>
    <w:rsid w:val="00720C59"/>
    <w:pPr>
      <w:suppressAutoHyphens w:val="0"/>
      <w:autoSpaceDE w:val="0"/>
      <w:autoSpaceDN w:val="0"/>
      <w:adjustRightInd w:val="0"/>
      <w:spacing w:line="277" w:lineRule="exact"/>
      <w:ind w:firstLine="598"/>
      <w:jc w:val="both"/>
    </w:pPr>
    <w:rPr>
      <w:rFonts w:ascii="Microsoft Sans Serif" w:hAnsi="Microsoft Sans Serif"/>
      <w:szCs w:val="24"/>
    </w:rPr>
  </w:style>
  <w:style w:type="paragraph" w:customStyle="1" w:styleId="Style28">
    <w:name w:val="Style28"/>
    <w:basedOn w:val="a"/>
    <w:rsid w:val="00720C59"/>
    <w:pPr>
      <w:suppressAutoHyphens w:val="0"/>
      <w:autoSpaceDE w:val="0"/>
      <w:autoSpaceDN w:val="0"/>
      <w:adjustRightInd w:val="0"/>
      <w:spacing w:line="281" w:lineRule="exact"/>
      <w:ind w:hanging="353"/>
    </w:pPr>
    <w:rPr>
      <w:rFonts w:ascii="Microsoft Sans Serif" w:hAnsi="Microsoft Sans Serif"/>
      <w:szCs w:val="24"/>
    </w:rPr>
  </w:style>
  <w:style w:type="paragraph" w:customStyle="1" w:styleId="Style8">
    <w:name w:val="Style8"/>
    <w:basedOn w:val="a"/>
    <w:rsid w:val="00720C59"/>
    <w:pPr>
      <w:suppressAutoHyphens w:val="0"/>
      <w:autoSpaceDE w:val="0"/>
      <w:autoSpaceDN w:val="0"/>
      <w:adjustRightInd w:val="0"/>
      <w:spacing w:line="278" w:lineRule="exact"/>
      <w:ind w:firstLine="713"/>
      <w:jc w:val="both"/>
    </w:pPr>
    <w:rPr>
      <w:rFonts w:ascii="Microsoft Sans Serif" w:hAnsi="Microsoft Sans Seri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58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1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1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ew.government.bg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vr.bg/gdpbz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li.government.bg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mlsp.government.b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0FED-BC30-4A1E-A3BF-1065178D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2432</Words>
  <Characters>13868</Characters>
  <Application>Microsoft Office Word</Application>
  <DocSecurity>0</DocSecurity>
  <Lines>115</Lines>
  <Paragraphs>32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Раздел І</vt:lpstr>
      <vt:lpstr/>
    </vt:vector>
  </TitlesOfParts>
  <Company>Municipality Dobrichka</Company>
  <LinksUpToDate>false</LinksUpToDate>
  <CharactersWithSpaces>16268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Желязкова</dc:creator>
  <cp:lastModifiedBy>Емилия Желязкова</cp:lastModifiedBy>
  <cp:revision>19</cp:revision>
  <cp:lastPrinted>2018-10-03T05:54:00Z</cp:lastPrinted>
  <dcterms:created xsi:type="dcterms:W3CDTF">2018-09-27T05:45:00Z</dcterms:created>
  <dcterms:modified xsi:type="dcterms:W3CDTF">2018-10-03T05:56:00Z</dcterms:modified>
</cp:coreProperties>
</file>