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E1" w:rsidRPr="0060423F" w:rsidRDefault="00BA4CE1" w:rsidP="00BA4CE1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3222F6" w:rsidRPr="00865776" w:rsidRDefault="003222F6" w:rsidP="003222F6">
      <w:pPr>
        <w:tabs>
          <w:tab w:val="left" w:pos="7380"/>
          <w:tab w:val="left" w:pos="7560"/>
          <w:tab w:val="right" w:pos="9666"/>
        </w:tabs>
        <w:jc w:val="right"/>
      </w:pPr>
      <w:r w:rsidRPr="00865776">
        <w:rPr>
          <w:i/>
        </w:rPr>
        <w:t xml:space="preserve">Образец № </w:t>
      </w:r>
      <w:r w:rsidR="00025F87">
        <w:rPr>
          <w:i/>
        </w:rPr>
        <w:t>2</w:t>
      </w:r>
    </w:p>
    <w:p w:rsidR="003222F6" w:rsidRPr="00865776" w:rsidRDefault="003222F6" w:rsidP="003222F6">
      <w:pPr>
        <w:ind w:left="2124" w:firstLine="707"/>
      </w:pPr>
    </w:p>
    <w:p w:rsidR="003222F6" w:rsidRPr="00865776" w:rsidRDefault="003222F6" w:rsidP="003222F6">
      <w:pPr>
        <w:jc w:val="center"/>
      </w:pPr>
      <w:r w:rsidRPr="00865776">
        <w:rPr>
          <w:b/>
        </w:rPr>
        <w:t xml:space="preserve">ТЕХНИЧЕСКО ПРЕДЛОЖЕНИЕ ЗА ИЗПЪЛНЕНИЕ НА ПОРЪЧКАТА </w:t>
      </w:r>
    </w:p>
    <w:p w:rsidR="003222F6" w:rsidRPr="00865776" w:rsidRDefault="003222F6" w:rsidP="003222F6">
      <w:pPr>
        <w:jc w:val="center"/>
      </w:pPr>
    </w:p>
    <w:p w:rsidR="003222F6" w:rsidRPr="00865776" w:rsidRDefault="003222F6" w:rsidP="003222F6">
      <w:pPr>
        <w:tabs>
          <w:tab w:val="left" w:pos="567"/>
        </w:tabs>
        <w:jc w:val="center"/>
      </w:pPr>
      <w:r w:rsidRPr="00865776">
        <w:rPr>
          <w:b/>
          <w:i/>
        </w:rPr>
        <w:t>„</w:t>
      </w:r>
      <w:r w:rsidR="00025F87" w:rsidRPr="00FA26E0">
        <w:rPr>
          <w:rFonts w:eastAsia="Times New Roman" w:cs="Times New Roman"/>
          <w:b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865776">
        <w:rPr>
          <w:b/>
          <w:i/>
        </w:rPr>
        <w:t>“</w:t>
      </w:r>
    </w:p>
    <w:p w:rsidR="003222F6" w:rsidRPr="00865776" w:rsidRDefault="003222F6" w:rsidP="003222F6">
      <w:pPr>
        <w:jc w:val="center"/>
      </w:pPr>
      <w:r w:rsidRPr="00865776">
        <w:t xml:space="preserve">                                                                                                        </w:t>
      </w:r>
    </w:p>
    <w:p w:rsidR="003222F6" w:rsidRPr="0060423F" w:rsidRDefault="003222F6" w:rsidP="0060423F">
      <w:pPr>
        <w:rPr>
          <w:lang w:val="en-US"/>
        </w:rPr>
      </w:pPr>
    </w:p>
    <w:p w:rsidR="003222F6" w:rsidRPr="00865776" w:rsidRDefault="003222F6" w:rsidP="003222F6">
      <w:r w:rsidRPr="00865776">
        <w:rPr>
          <w:b/>
        </w:rPr>
        <w:t>УВАЖАЕМИ ДАМИ И ГОСПОДА,</w:t>
      </w:r>
    </w:p>
    <w:p w:rsidR="003222F6" w:rsidRPr="00865776" w:rsidRDefault="003222F6" w:rsidP="003222F6">
      <w:pPr>
        <w:ind w:firstLine="708"/>
      </w:pPr>
    </w:p>
    <w:p w:rsidR="003222F6" w:rsidRPr="0060423F" w:rsidRDefault="003222F6" w:rsidP="003222F6">
      <w:pPr>
        <w:tabs>
          <w:tab w:val="left" w:pos="567"/>
        </w:tabs>
        <w:jc w:val="both"/>
        <w:rPr>
          <w:lang w:val="en-US"/>
        </w:rPr>
      </w:pPr>
      <w:r w:rsidRPr="00865776">
        <w:tab/>
        <w:t xml:space="preserve">След запознаване с документацията за участие в публично състезание за възлагане на обществена поръчка с предмет: </w:t>
      </w:r>
      <w:r w:rsidRPr="00025F87">
        <w:rPr>
          <w:b/>
          <w:i/>
        </w:rPr>
        <w:t>„</w:t>
      </w:r>
      <w:r w:rsidR="00025F87" w:rsidRPr="00025F87">
        <w:rPr>
          <w:rFonts w:eastAsia="Times New Roman" w:cs="Times New Roman"/>
          <w:b/>
          <w:i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865776">
        <w:rPr>
          <w:b/>
          <w:i/>
        </w:rPr>
        <w:t>“</w:t>
      </w:r>
    </w:p>
    <w:p w:rsidR="003222F6" w:rsidRPr="00025F87" w:rsidRDefault="003222F6" w:rsidP="003222F6">
      <w:pPr>
        <w:tabs>
          <w:tab w:val="left" w:pos="567"/>
        </w:tabs>
        <w:jc w:val="both"/>
        <w:rPr>
          <w:b/>
        </w:rPr>
      </w:pPr>
      <w:r w:rsidRPr="00865776">
        <w:rPr>
          <w:b/>
        </w:rPr>
        <w:tab/>
        <w:t xml:space="preserve">Заявяваме участието си по процедура с предмет: </w:t>
      </w:r>
      <w:r w:rsidRPr="00865776">
        <w:rPr>
          <w:b/>
          <w:i/>
        </w:rPr>
        <w:t>„</w:t>
      </w:r>
      <w:r w:rsidR="00025F87" w:rsidRPr="00025F87">
        <w:rPr>
          <w:rFonts w:eastAsia="Times New Roman" w:cs="Times New Roman"/>
          <w:b/>
          <w:i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025F87">
        <w:rPr>
          <w:b/>
          <w:i/>
        </w:rPr>
        <w:t>“</w:t>
      </w:r>
      <w:r w:rsidR="00025F87">
        <w:rPr>
          <w:b/>
          <w:i/>
        </w:rPr>
        <w:t xml:space="preserve"> </w:t>
      </w:r>
      <w:r w:rsidR="00025F87">
        <w:rPr>
          <w:b/>
        </w:rPr>
        <w:t>за обособена позиция №</w:t>
      </w:r>
      <w:r w:rsidR="00A63F93">
        <w:rPr>
          <w:b/>
        </w:rPr>
        <w:t xml:space="preserve"> 1</w:t>
      </w:r>
      <w:r w:rsidR="00025F87">
        <w:rPr>
          <w:b/>
        </w:rPr>
        <w:t xml:space="preserve"> </w:t>
      </w:r>
      <w:r w:rsidR="00A63F93">
        <w:rPr>
          <w:b/>
        </w:rPr>
        <w:t>„</w:t>
      </w:r>
      <w:r w:rsidR="00A63F93" w:rsidRPr="00A63F93">
        <w:rPr>
          <w:b/>
          <w:i/>
        </w:rPr>
        <w:t>Д</w:t>
      </w:r>
      <w:r w:rsidR="00A63F93" w:rsidRPr="00A63F93">
        <w:rPr>
          <w:b/>
          <w:bCs/>
          <w:i/>
        </w:rPr>
        <w:t>оставка на нов специализиран камион за сметосъбиране</w:t>
      </w:r>
      <w:r w:rsidR="00A63F93">
        <w:rPr>
          <w:b/>
          <w:bCs/>
        </w:rPr>
        <w:t>“</w:t>
      </w: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jc w:val="both"/>
      </w:pPr>
      <w:r w:rsidRPr="00865776">
        <w:t>Ние: …………………………………………………………………………………………………</w:t>
      </w:r>
    </w:p>
    <w:p w:rsidR="003222F6" w:rsidRPr="00865776" w:rsidRDefault="003222F6" w:rsidP="003222F6">
      <w:pPr>
        <w:jc w:val="center"/>
      </w:pPr>
      <w:r w:rsidRPr="00865776">
        <w:t>/изписва се името на участника/</w:t>
      </w:r>
    </w:p>
    <w:p w:rsidR="003222F6" w:rsidRPr="00865776" w:rsidRDefault="003222F6" w:rsidP="003222F6">
      <w:pPr>
        <w:jc w:val="both"/>
      </w:pPr>
      <w:r w:rsidRPr="00865776">
        <w:t>ЕИК ......................................., със седалище и адрес на управление: ………………………..……………………………………, представлявано от: …………………… ……………………………………………………………………………………………………………..</w:t>
      </w:r>
    </w:p>
    <w:p w:rsidR="003222F6" w:rsidRPr="00865776" w:rsidRDefault="003222F6" w:rsidP="003222F6">
      <w:pPr>
        <w:jc w:val="both"/>
        <w:rPr>
          <w:lang w:val="en-US"/>
        </w:rPr>
      </w:pPr>
    </w:p>
    <w:p w:rsidR="003222F6" w:rsidRPr="00865776" w:rsidRDefault="003222F6" w:rsidP="003222F6">
      <w:r w:rsidRPr="00865776">
        <w:t>1. С настоящето техническо предложение декларираме, че предлагани</w:t>
      </w:r>
      <w:r>
        <w:t>я</w:t>
      </w:r>
      <w:r w:rsidRPr="00865776">
        <w:t xml:space="preserve">  от нас </w:t>
      </w:r>
      <w:r w:rsidR="00025F87">
        <w:t>е ………………………………………………………………………………………………..</w:t>
      </w:r>
    </w:p>
    <w:p w:rsidR="003222F6" w:rsidRPr="00865776" w:rsidRDefault="003222F6" w:rsidP="003222F6"/>
    <w:p w:rsidR="003222F6" w:rsidRPr="00865776" w:rsidRDefault="003222F6" w:rsidP="003222F6">
      <w:pPr>
        <w:jc w:val="both"/>
      </w:pPr>
      <w:r w:rsidRPr="00865776">
        <w:tab/>
        <w:t>Марка ………………………, модел …………………………………,  производител …………………………………………….., страна на произход ………………………………….., година на производство …………………, друг белези ………………….. и отговаря на техническата спецификация на Възложителя за</w:t>
      </w:r>
      <w:r w:rsidRPr="00865776">
        <w:rPr>
          <w:b/>
        </w:rPr>
        <w:t xml:space="preserve"> </w:t>
      </w:r>
      <w:proofErr w:type="spellStart"/>
      <w:r w:rsidRPr="00865776">
        <w:t>сметосъбиращ</w:t>
      </w:r>
      <w:proofErr w:type="spellEnd"/>
      <w:r w:rsidRPr="00865776">
        <w:t xml:space="preserve"> автомобил с нормална проходимост </w:t>
      </w:r>
      <w:r w:rsidRPr="00865776">
        <w:rPr>
          <w:lang w:val="en-US"/>
        </w:rPr>
        <w:t>(</w:t>
      </w:r>
      <w:proofErr w:type="spellStart"/>
      <w:r w:rsidRPr="00865776">
        <w:t>колесна</w:t>
      </w:r>
      <w:proofErr w:type="spellEnd"/>
      <w:r w:rsidRPr="00865776">
        <w:t xml:space="preserve"> формула 4х2</w:t>
      </w:r>
      <w:r w:rsidRPr="00865776">
        <w:rPr>
          <w:lang w:val="en-US"/>
        </w:rPr>
        <w:t>)</w:t>
      </w:r>
      <w:r w:rsidRPr="00865776">
        <w:t>.</w:t>
      </w:r>
    </w:p>
    <w:p w:rsidR="003222F6" w:rsidRPr="00865776" w:rsidRDefault="003222F6" w:rsidP="003222F6">
      <w:pPr>
        <w:ind w:firstLine="708"/>
        <w:jc w:val="both"/>
        <w:rPr>
          <w:b/>
          <w:bCs/>
          <w:lang w:val="ru-RU"/>
        </w:rPr>
      </w:pPr>
      <w:bookmarkStart w:id="0" w:name="_GoBack"/>
      <w:bookmarkEnd w:id="0"/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3616"/>
        <w:gridCol w:w="3223"/>
      </w:tblGrid>
      <w:tr w:rsidR="002C0E72" w:rsidRPr="001C007C" w:rsidTr="002C0E72">
        <w:trPr>
          <w:trHeight w:val="788"/>
        </w:trPr>
        <w:tc>
          <w:tcPr>
            <w:tcW w:w="2339" w:type="dxa"/>
          </w:tcPr>
          <w:p w:rsidR="002C0E72" w:rsidRPr="001C007C" w:rsidRDefault="002C0E72" w:rsidP="006B1D8D">
            <w:pPr>
              <w:rPr>
                <w:b/>
                <w:bCs/>
                <w:u w:val="single"/>
              </w:rPr>
            </w:pPr>
            <w:r w:rsidRPr="001C007C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3616" w:type="dxa"/>
          </w:tcPr>
          <w:p w:rsidR="002C0E72" w:rsidRPr="002C0E72" w:rsidRDefault="002C0E72" w:rsidP="006B1D8D">
            <w:pPr>
              <w:rPr>
                <w:b/>
                <w:bCs/>
                <w:u w:val="single"/>
                <w:lang w:val="en-US"/>
              </w:rPr>
            </w:pPr>
            <w:r w:rsidRPr="002C0E72">
              <w:rPr>
                <w:b/>
                <w:bCs/>
                <w:u w:val="single"/>
              </w:rPr>
              <w:t xml:space="preserve">Изисквания за технически характеристики за доставка на нов специализиран </w:t>
            </w:r>
            <w:proofErr w:type="spellStart"/>
            <w:r w:rsidRPr="002C0E72">
              <w:rPr>
                <w:b/>
                <w:bCs/>
                <w:u w:val="single"/>
              </w:rPr>
              <w:t>сметосъбиращ</w:t>
            </w:r>
            <w:proofErr w:type="spellEnd"/>
            <w:r w:rsidRPr="002C0E72">
              <w:rPr>
                <w:b/>
                <w:bCs/>
                <w:u w:val="single"/>
              </w:rPr>
              <w:t xml:space="preserve"> камион </w:t>
            </w:r>
          </w:p>
        </w:tc>
        <w:tc>
          <w:tcPr>
            <w:tcW w:w="3223" w:type="dxa"/>
          </w:tcPr>
          <w:p w:rsidR="002C0E72" w:rsidRPr="002C0E72" w:rsidRDefault="002C0E72" w:rsidP="006B1D8D">
            <w:pPr>
              <w:rPr>
                <w:b/>
                <w:bCs/>
                <w:u w:val="single"/>
              </w:rPr>
            </w:pPr>
            <w:r w:rsidRPr="002C0E72">
              <w:rPr>
                <w:b/>
                <w:bCs/>
                <w:u w:val="single"/>
              </w:rPr>
              <w:t>Предложение</w:t>
            </w:r>
          </w:p>
        </w:tc>
      </w:tr>
      <w:tr w:rsidR="002C0E72" w:rsidRPr="001C007C" w:rsidTr="002C0E72">
        <w:trPr>
          <w:trHeight w:val="356"/>
        </w:trPr>
        <w:tc>
          <w:tcPr>
            <w:tcW w:w="5955" w:type="dxa"/>
            <w:gridSpan w:val="2"/>
          </w:tcPr>
          <w:p w:rsidR="002C0E72" w:rsidRPr="001C007C" w:rsidRDefault="002C0E72" w:rsidP="006B1D8D">
            <w:pPr>
              <w:jc w:val="center"/>
              <w:rPr>
                <w:b/>
              </w:rPr>
            </w:pPr>
            <w:r w:rsidRPr="001C007C">
              <w:rPr>
                <w:b/>
                <w:u w:val="single"/>
              </w:rPr>
              <w:t>Базов автомобил</w:t>
            </w:r>
          </w:p>
        </w:tc>
        <w:tc>
          <w:tcPr>
            <w:tcW w:w="3223" w:type="dxa"/>
          </w:tcPr>
          <w:p w:rsidR="002C0E72" w:rsidRPr="001C007C" w:rsidRDefault="002C0E72" w:rsidP="006B1D8D">
            <w:pPr>
              <w:jc w:val="center"/>
              <w:rPr>
                <w:b/>
                <w:u w:val="single"/>
              </w:rPr>
            </w:pPr>
          </w:p>
        </w:tc>
      </w:tr>
      <w:tr w:rsidR="002C0E72" w:rsidRPr="00865776" w:rsidTr="002C0E72">
        <w:trPr>
          <w:trHeight w:val="35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3616" w:type="dxa"/>
          </w:tcPr>
          <w:p w:rsidR="002C0E72" w:rsidRPr="00865776" w:rsidRDefault="0061254C" w:rsidP="006B1D8D">
            <w:r>
              <w:t>Не по-малко от</w:t>
            </w:r>
            <w:r w:rsidR="002C0E72" w:rsidRPr="00865776">
              <w:t xml:space="preserve"> </w:t>
            </w:r>
            <w:r w:rsidR="002C0E72" w:rsidRPr="00865776">
              <w:rPr>
                <w:lang w:val="en-US"/>
              </w:rPr>
              <w:t>1</w:t>
            </w:r>
            <w:r w:rsidR="002C0E72">
              <w:t>8</w:t>
            </w:r>
            <w:r w:rsidR="002C0E72" w:rsidRPr="00865776">
              <w:t> </w:t>
            </w:r>
            <w:r w:rsidR="002C0E72" w:rsidRPr="00865776">
              <w:rPr>
                <w:lang w:val="en-US"/>
              </w:rPr>
              <w:t>0</w:t>
            </w:r>
            <w:r w:rsidR="002C0E72" w:rsidRPr="00865776">
              <w:t>00 кг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6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3616" w:type="dxa"/>
          </w:tcPr>
          <w:p w:rsidR="002C0E72" w:rsidRPr="00865776" w:rsidRDefault="002C0E72" w:rsidP="006B1D8D">
            <w:proofErr w:type="spellStart"/>
            <w:r w:rsidRPr="00865776">
              <w:t>Сметосъбиращ</w:t>
            </w:r>
            <w:proofErr w:type="spellEnd"/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6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Техническо състояние на автомобила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Нов    с  гаранция за техническото състояние на база период или пробег в километри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</w:t>
            </w:r>
            <w:r w:rsidRPr="00865776">
              <w:rPr>
                <w:lang w:val="en-US"/>
              </w:rPr>
              <w:t xml:space="preserve"> </w:t>
            </w:r>
            <w:r w:rsidRPr="00865776">
              <w:t>Стандарт</w:t>
            </w:r>
          </w:p>
        </w:tc>
        <w:tc>
          <w:tcPr>
            <w:tcW w:w="3616" w:type="dxa"/>
          </w:tcPr>
          <w:p w:rsidR="002C0E72" w:rsidRPr="003A6613" w:rsidRDefault="002C0E72" w:rsidP="006B1D8D">
            <w:pPr>
              <w:rPr>
                <w:rFonts w:ascii="Arial" w:hAnsi="Arial" w:cs="Arial"/>
                <w:color w:val="3E3E3E"/>
                <w:sz w:val="20"/>
                <w:szCs w:val="20"/>
                <w:shd w:val="clear" w:color="auto" w:fill="FFFFFF"/>
              </w:rPr>
            </w:pPr>
            <w:r w:rsidRPr="00742C49">
              <w:rPr>
                <w:rStyle w:val="st"/>
              </w:rPr>
              <w:t>БДС EN 1501-1:2011+A1:2015–</w:t>
            </w:r>
            <w:r w:rsidRPr="00742C49">
              <w:rPr>
                <w:rStyle w:val="st"/>
              </w:rPr>
              <w:lastRenderedPageBreak/>
              <w:t>„</w:t>
            </w:r>
            <w:r w:rsidRPr="00742C49">
              <w:t xml:space="preserve">Товарни автомобили за събиране и извозване на битови отпадъци и техните </w:t>
            </w:r>
            <w:proofErr w:type="spellStart"/>
            <w:r w:rsidRPr="00742C49">
              <w:t>контейнероповдигачи</w:t>
            </w:r>
            <w:proofErr w:type="spellEnd"/>
            <w:r w:rsidRPr="00865776">
              <w:t>”</w:t>
            </w:r>
            <w:r>
              <w:rPr>
                <w:rFonts w:ascii="Arial" w:hAnsi="Arial" w:cs="Arial"/>
                <w:color w:val="3E3E3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65776">
              <w:t xml:space="preserve">или еквивалентни  </w:t>
            </w:r>
          </w:p>
        </w:tc>
        <w:tc>
          <w:tcPr>
            <w:tcW w:w="3223" w:type="dxa"/>
          </w:tcPr>
          <w:p w:rsidR="002C0E72" w:rsidRPr="00742C49" w:rsidRDefault="002C0E72" w:rsidP="006B1D8D">
            <w:pPr>
              <w:rPr>
                <w:rStyle w:val="st"/>
              </w:rPr>
            </w:pPr>
          </w:p>
        </w:tc>
      </w:tr>
      <w:tr w:rsidR="002C0E72" w:rsidRPr="00865776" w:rsidTr="002C0E72">
        <w:trPr>
          <w:trHeight w:val="50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lastRenderedPageBreak/>
              <w:t>- Двигател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Дизелов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8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Обем на двигателя</w:t>
            </w:r>
          </w:p>
        </w:tc>
        <w:tc>
          <w:tcPr>
            <w:tcW w:w="3616" w:type="dxa"/>
          </w:tcPr>
          <w:p w:rsidR="002C0E72" w:rsidRPr="00865776" w:rsidRDefault="0061254C" w:rsidP="006B1D8D">
            <w:pPr>
              <w:rPr>
                <w:vertAlign w:val="superscript"/>
              </w:rPr>
            </w:pPr>
            <w:r>
              <w:t>Не по-малко от</w:t>
            </w:r>
            <w:r w:rsidR="002C0E72">
              <w:t xml:space="preserve"> </w:t>
            </w:r>
            <w:r w:rsidR="002C0E72" w:rsidRPr="00865776">
              <w:t xml:space="preserve"> </w:t>
            </w:r>
            <w:r w:rsidR="002C0E72">
              <w:t>6 500</w:t>
            </w:r>
            <w:r w:rsidR="002C0E72" w:rsidRPr="00865776">
              <w:t xml:space="preserve">  см</w:t>
            </w:r>
            <w:r w:rsidR="002C0E72" w:rsidRPr="00865776">
              <w:rPr>
                <w:vertAlign w:val="superscript"/>
              </w:rPr>
              <w:t>3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40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Мощност на двигателя</w:t>
            </w:r>
          </w:p>
        </w:tc>
        <w:tc>
          <w:tcPr>
            <w:tcW w:w="3616" w:type="dxa"/>
          </w:tcPr>
          <w:p w:rsidR="002C0E72" w:rsidRPr="00236E6D" w:rsidRDefault="0061254C" w:rsidP="00AB20DA">
            <w:pPr>
              <w:rPr>
                <w:lang w:val="en-US"/>
              </w:rPr>
            </w:pPr>
            <w:r>
              <w:t>Не по-малко от</w:t>
            </w:r>
            <w:r w:rsidR="002C0E72" w:rsidRPr="00865776">
              <w:t xml:space="preserve"> </w:t>
            </w:r>
            <w:r w:rsidR="002C0E72">
              <w:t xml:space="preserve"> </w:t>
            </w:r>
            <w:r w:rsidR="00AB20DA">
              <w:rPr>
                <w:lang w:val="en-US"/>
              </w:rPr>
              <w:t>200</w:t>
            </w:r>
            <w:r w:rsidR="002C0E72">
              <w:t xml:space="preserve"> </w:t>
            </w:r>
            <w:r w:rsidR="002C0E72">
              <w:rPr>
                <w:lang w:val="en-US"/>
              </w:rPr>
              <w:t>kW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40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Управление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63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3616" w:type="dxa"/>
          </w:tcPr>
          <w:p w:rsidR="002C0E72" w:rsidRDefault="002C0E72" w:rsidP="006B1D8D">
            <w:pPr>
              <w:rPr>
                <w:lang w:val="en-US"/>
              </w:rPr>
            </w:pPr>
            <w:r w:rsidRPr="00865776">
              <w:t xml:space="preserve">Европейски стандарти за емисии - </w:t>
            </w:r>
            <w:r w:rsidR="0061254C">
              <w:t>не по-малко от</w:t>
            </w:r>
            <w:r w:rsidRPr="00865776">
              <w:t xml:space="preserve"> EURO 6 или еквивалентни</w:t>
            </w:r>
            <w:r w:rsidRPr="00865776">
              <w:rPr>
                <w:lang w:val="en-US"/>
              </w:rPr>
              <w:t xml:space="preserve"> – </w:t>
            </w:r>
            <w:r w:rsidRPr="00865776">
              <w:t>доказва се с копие от регистрационен талон или удостоверение от производителя или официален негов представител</w:t>
            </w:r>
            <w:r>
              <w:rPr>
                <w:lang w:val="en-US"/>
              </w:rPr>
              <w:t>.</w:t>
            </w:r>
          </w:p>
          <w:p w:rsidR="002C0E72" w:rsidRPr="00236E6D" w:rsidRDefault="002C0E72" w:rsidP="006B1D8D">
            <w:r>
              <w:t xml:space="preserve">Двигателят да не е оборудван със система за </w:t>
            </w:r>
            <w:proofErr w:type="spellStart"/>
            <w:r>
              <w:t>рециркулация</w:t>
            </w:r>
            <w:proofErr w:type="spellEnd"/>
            <w:r>
              <w:t xml:space="preserve"> на изгорелите газове.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4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3616" w:type="dxa"/>
          </w:tcPr>
          <w:p w:rsidR="002C0E72" w:rsidRPr="00865776" w:rsidRDefault="002C0E72" w:rsidP="006B1D8D">
            <w:r>
              <w:t>Ръчна</w:t>
            </w:r>
            <w:r w:rsidRPr="00865776">
              <w:t xml:space="preserve"> с </w:t>
            </w:r>
            <w:r w:rsidR="0061254C">
              <w:t>не по-малко от</w:t>
            </w:r>
            <w:r w:rsidRPr="00865776">
              <w:t xml:space="preserve"> 6 предни и една задна предавки  </w:t>
            </w:r>
          </w:p>
        </w:tc>
        <w:tc>
          <w:tcPr>
            <w:tcW w:w="3223" w:type="dxa"/>
          </w:tcPr>
          <w:p w:rsidR="002C0E72" w:rsidRDefault="002C0E72" w:rsidP="006B1D8D"/>
        </w:tc>
      </w:tr>
      <w:tr w:rsidR="002C0E72" w:rsidRPr="00865776" w:rsidTr="002C0E72">
        <w:trPr>
          <w:trHeight w:val="342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Спирачна система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С ABS или еквивалентни</w:t>
            </w:r>
          </w:p>
          <w:p w:rsidR="002C0E72" w:rsidRPr="00865776" w:rsidRDefault="002C0E72" w:rsidP="006B1D8D">
            <w:r w:rsidRPr="00865776">
              <w:t xml:space="preserve"> -  моторна спирачка с механичен или автоматичен режим на работа </w:t>
            </w:r>
          </w:p>
          <w:p w:rsidR="002C0E72" w:rsidRPr="00F60A4B" w:rsidRDefault="002C0E72" w:rsidP="006B1D8D">
            <w:r w:rsidRPr="00865776">
              <w:t>- спирачен асистент при потегляне под наклон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4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Окачване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Първа ос – управляема – с механично окачване;</w:t>
            </w:r>
          </w:p>
          <w:p w:rsidR="002C0E72" w:rsidRPr="00865776" w:rsidRDefault="002C0E72" w:rsidP="006B1D8D">
            <w:r w:rsidRPr="00865776">
              <w:t>Втора  – задвижваща ос с механично окачване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4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4х2 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444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Брой оси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2 броя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6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Кабина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- 2+1 седалки</w:t>
            </w:r>
          </w:p>
          <w:p w:rsidR="002C0E72" w:rsidRPr="00865776" w:rsidRDefault="002C0E72" w:rsidP="006B1D8D">
            <w:r w:rsidRPr="00865776">
              <w:rPr>
                <w:lang w:val="en-US"/>
              </w:rPr>
              <w:t xml:space="preserve">- </w:t>
            </w:r>
            <w:r w:rsidRPr="00865776">
              <w:t>волан ляво разположен, регулируем</w:t>
            </w:r>
          </w:p>
          <w:p w:rsidR="002C0E72" w:rsidRPr="00865776" w:rsidRDefault="002C0E72" w:rsidP="006B1D8D">
            <w:r w:rsidRPr="00865776">
              <w:t xml:space="preserve">- дигитален </w:t>
            </w:r>
            <w:proofErr w:type="spellStart"/>
            <w:r w:rsidRPr="00865776">
              <w:t>тахограф</w:t>
            </w:r>
            <w:proofErr w:type="spellEnd"/>
          </w:p>
          <w:p w:rsidR="002C0E72" w:rsidRPr="00865776" w:rsidRDefault="002C0E72" w:rsidP="006B1D8D">
            <w:r w:rsidRPr="00865776">
              <w:t>- ограничител на скоростта</w:t>
            </w:r>
          </w:p>
          <w:p w:rsidR="002C0E72" w:rsidRPr="00865776" w:rsidRDefault="002C0E72" w:rsidP="006B1D8D">
            <w:r w:rsidRPr="00865776">
              <w:t xml:space="preserve">- бордови компютър </w:t>
            </w:r>
          </w:p>
          <w:p w:rsidR="002C0E72" w:rsidRPr="00865776" w:rsidRDefault="002C0E72" w:rsidP="006B1D8D">
            <w:r w:rsidRPr="00865776">
              <w:t xml:space="preserve">- </w:t>
            </w:r>
            <w:proofErr w:type="spellStart"/>
            <w:r w:rsidRPr="00865776">
              <w:t>климатик</w:t>
            </w:r>
            <w:proofErr w:type="spellEnd"/>
            <w:r w:rsidRPr="00865776">
              <w:t xml:space="preserve"> или </w:t>
            </w:r>
            <w:proofErr w:type="spellStart"/>
            <w:r w:rsidRPr="00865776">
              <w:t>климатроник</w:t>
            </w:r>
            <w:proofErr w:type="spellEnd"/>
          </w:p>
          <w:p w:rsidR="002C0E72" w:rsidRPr="00865776" w:rsidRDefault="002C0E72" w:rsidP="006B1D8D">
            <w:r w:rsidRPr="00865776">
              <w:t>-</w:t>
            </w:r>
            <w:proofErr w:type="spellStart"/>
            <w:r w:rsidRPr="00865776">
              <w:t>обезопасителни</w:t>
            </w:r>
            <w:proofErr w:type="spellEnd"/>
            <w:r w:rsidRPr="00865776">
              <w:t xml:space="preserve"> колани за всички пътници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Гуми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- минимален размер: </w:t>
            </w:r>
            <w:r w:rsidRPr="00865776">
              <w:rPr>
                <w:lang w:val="en-US"/>
              </w:rPr>
              <w:t xml:space="preserve"> R </w:t>
            </w:r>
            <w:r w:rsidRPr="00865776">
              <w:t xml:space="preserve">22.5    </w:t>
            </w:r>
          </w:p>
          <w:p w:rsidR="002C0E72" w:rsidRPr="00865776" w:rsidRDefault="002C0E72" w:rsidP="00EC4CA9">
            <w:pPr>
              <w:rPr>
                <w:lang w:val="en-US"/>
              </w:rPr>
            </w:pPr>
            <w:r w:rsidRPr="00865776">
              <w:t xml:space="preserve">- наличие на резервна гума с джанта 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48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Резервоар за гориво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1 брой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64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>
              <w:t>-</w:t>
            </w:r>
            <w:r w:rsidRPr="00865776">
              <w:t>Светлинна сигнализация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-предни  и задни фарове за мъгла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8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lastRenderedPageBreak/>
              <w:t>- Сигнални лампи /маяк/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Да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543"/>
        </w:trPr>
        <w:tc>
          <w:tcPr>
            <w:tcW w:w="2339" w:type="dxa"/>
          </w:tcPr>
          <w:p w:rsidR="002C0E72" w:rsidRPr="00865776" w:rsidRDefault="002C0E72" w:rsidP="006B1D8D">
            <w:r w:rsidRPr="00865776">
              <w:t>- Звуков сигнал при движение на заден ход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Да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9"/>
        </w:trPr>
        <w:tc>
          <w:tcPr>
            <w:tcW w:w="2339" w:type="dxa"/>
          </w:tcPr>
          <w:p w:rsidR="002C0E72" w:rsidRPr="00865776" w:rsidRDefault="002C0E72" w:rsidP="006B1D8D">
            <w:r w:rsidRPr="00865776">
              <w:t xml:space="preserve">-Изисквания за </w:t>
            </w:r>
            <w:r w:rsidRPr="00865776">
              <w:rPr>
                <w:lang w:val="en-US"/>
              </w:rPr>
              <w:t xml:space="preserve">GPS </w:t>
            </w:r>
            <w:r w:rsidRPr="00865776">
              <w:t>система</w:t>
            </w:r>
          </w:p>
        </w:tc>
        <w:tc>
          <w:tcPr>
            <w:tcW w:w="3616" w:type="dxa"/>
          </w:tcPr>
          <w:p w:rsidR="002C0E72" w:rsidRPr="00865776" w:rsidRDefault="002C0E72" w:rsidP="006B1D8D">
            <w:pPr>
              <w:rPr>
                <w:lang w:val="en-US"/>
              </w:rPr>
            </w:pPr>
            <w:r w:rsidRPr="00865776">
              <w:t xml:space="preserve">Оборудвана с преподготовка за </w:t>
            </w:r>
            <w:r w:rsidRPr="00865776">
              <w:rPr>
                <w:lang w:val="en-US"/>
              </w:rPr>
              <w:t>GPS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9"/>
        </w:trPr>
        <w:tc>
          <w:tcPr>
            <w:tcW w:w="2339" w:type="dxa"/>
          </w:tcPr>
          <w:p w:rsidR="002C0E72" w:rsidRPr="00865776" w:rsidRDefault="002C0E72" w:rsidP="006B1D8D">
            <w:r w:rsidRPr="00865776">
              <w:t>-Аварийно и медицинско оборудване</w:t>
            </w:r>
          </w:p>
        </w:tc>
        <w:tc>
          <w:tcPr>
            <w:tcW w:w="3616" w:type="dxa"/>
          </w:tcPr>
          <w:p w:rsidR="002C0E72" w:rsidRPr="00865776" w:rsidRDefault="002C0E72" w:rsidP="006B1D8D">
            <w:proofErr w:type="spellStart"/>
            <w:r w:rsidRPr="00F60A4B">
              <w:t>Аптечка</w:t>
            </w:r>
            <w:proofErr w:type="spellEnd"/>
            <w:r w:rsidRPr="00F60A4B">
              <w:t xml:space="preserve">, </w:t>
            </w:r>
            <w:proofErr w:type="spellStart"/>
            <w:r w:rsidRPr="00F60A4B">
              <w:t>свотлоотразителен</w:t>
            </w:r>
            <w:proofErr w:type="spellEnd"/>
            <w:r w:rsidRPr="00F60A4B">
              <w:t xml:space="preserve"> триъгълник със стойка, пожарогасител, </w:t>
            </w:r>
            <w:proofErr w:type="spellStart"/>
            <w:r w:rsidRPr="00F60A4B">
              <w:t>светлоотразителна</w:t>
            </w:r>
            <w:proofErr w:type="spellEnd"/>
            <w:r w:rsidRPr="00F60A4B">
              <w:t xml:space="preserve"> жилетка,</w:t>
            </w:r>
            <w:r w:rsidRPr="00865776">
              <w:t xml:space="preserve"> хидравличен крик с товароподемност над 10 тона</w:t>
            </w:r>
          </w:p>
        </w:tc>
        <w:tc>
          <w:tcPr>
            <w:tcW w:w="3223" w:type="dxa"/>
          </w:tcPr>
          <w:p w:rsidR="002C0E72" w:rsidRPr="00F60A4B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5955" w:type="dxa"/>
            <w:gridSpan w:val="2"/>
          </w:tcPr>
          <w:p w:rsidR="002C0E72" w:rsidRPr="00865776" w:rsidRDefault="002C0E72" w:rsidP="006B1D8D">
            <w:pPr>
              <w:jc w:val="center"/>
              <w:rPr>
                <w:b/>
                <w:u w:val="single"/>
              </w:rPr>
            </w:pPr>
          </w:p>
          <w:p w:rsidR="002C0E72" w:rsidRPr="00865776" w:rsidRDefault="002C0E72" w:rsidP="006B1D8D">
            <w:pPr>
              <w:jc w:val="center"/>
              <w:rPr>
                <w:b/>
                <w:u w:val="single"/>
              </w:rPr>
            </w:pPr>
            <w:r w:rsidRPr="00865776">
              <w:rPr>
                <w:b/>
                <w:u w:val="single"/>
              </w:rPr>
              <w:t>Надстройка и специално оборудване</w:t>
            </w:r>
          </w:p>
        </w:tc>
        <w:tc>
          <w:tcPr>
            <w:tcW w:w="3223" w:type="dxa"/>
          </w:tcPr>
          <w:p w:rsidR="002C0E72" w:rsidRPr="00865776" w:rsidRDefault="002C0E72" w:rsidP="006B1D8D">
            <w:pPr>
              <w:jc w:val="center"/>
              <w:rPr>
                <w:b/>
                <w:u w:val="single"/>
              </w:rPr>
            </w:pPr>
          </w:p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r w:rsidRPr="00865776">
              <w:t>-  Обем/размер на надстройка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Мин. 1</w:t>
            </w:r>
            <w:r>
              <w:t>6</w:t>
            </w:r>
            <w:r w:rsidRPr="00865776">
              <w:t xml:space="preserve"> куб. м. 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88"/>
        </w:trPr>
        <w:tc>
          <w:tcPr>
            <w:tcW w:w="2339" w:type="dxa"/>
          </w:tcPr>
          <w:p w:rsidR="002C0E72" w:rsidRPr="007C6E6E" w:rsidRDefault="002C0E72" w:rsidP="006B1D8D">
            <w:r w:rsidRPr="007C6E6E">
              <w:t xml:space="preserve"> -Тип</w:t>
            </w:r>
          </w:p>
        </w:tc>
        <w:tc>
          <w:tcPr>
            <w:tcW w:w="3616" w:type="dxa"/>
          </w:tcPr>
          <w:p w:rsidR="002C0E72" w:rsidRPr="007C6E6E" w:rsidRDefault="002C0E72" w:rsidP="006B1D8D">
            <w:proofErr w:type="spellStart"/>
            <w:r>
              <w:t>В</w:t>
            </w:r>
            <w:r w:rsidRPr="007C6E6E">
              <w:t>ариопреса</w:t>
            </w:r>
            <w:proofErr w:type="spellEnd"/>
          </w:p>
        </w:tc>
        <w:tc>
          <w:tcPr>
            <w:tcW w:w="3223" w:type="dxa"/>
          </w:tcPr>
          <w:p w:rsidR="002C0E72" w:rsidRDefault="002C0E72" w:rsidP="006B1D8D"/>
        </w:tc>
      </w:tr>
      <w:tr w:rsidR="002C0E72" w:rsidRPr="00865776" w:rsidTr="002C0E72">
        <w:trPr>
          <w:trHeight w:val="312"/>
        </w:trPr>
        <w:tc>
          <w:tcPr>
            <w:tcW w:w="2339" w:type="dxa"/>
          </w:tcPr>
          <w:p w:rsidR="002C0E72" w:rsidRPr="00865776" w:rsidRDefault="002C0E72" w:rsidP="006B1D8D">
            <w:r w:rsidRPr="00865776">
              <w:t>- Надстройка вид</w:t>
            </w:r>
          </w:p>
        </w:tc>
        <w:tc>
          <w:tcPr>
            <w:tcW w:w="3616" w:type="dxa"/>
          </w:tcPr>
          <w:p w:rsidR="002C0E72" w:rsidRPr="00865776" w:rsidRDefault="002C0E72" w:rsidP="006B1D8D">
            <w:proofErr w:type="spellStart"/>
            <w:r>
              <w:t>С</w:t>
            </w:r>
            <w:r w:rsidRPr="00865776">
              <w:t>метосъбираща</w:t>
            </w:r>
            <w:proofErr w:type="spellEnd"/>
          </w:p>
        </w:tc>
        <w:tc>
          <w:tcPr>
            <w:tcW w:w="3223" w:type="dxa"/>
          </w:tcPr>
          <w:p w:rsidR="002C0E72" w:rsidRDefault="002C0E72" w:rsidP="006B1D8D"/>
        </w:tc>
      </w:tr>
      <w:tr w:rsidR="002C0E72" w:rsidRPr="00865776" w:rsidTr="002C0E72">
        <w:trPr>
          <w:trHeight w:val="352"/>
        </w:trPr>
        <w:tc>
          <w:tcPr>
            <w:tcW w:w="2339" w:type="dxa"/>
          </w:tcPr>
          <w:p w:rsidR="002C0E72" w:rsidRPr="00865776" w:rsidRDefault="002C0E72" w:rsidP="006B1D8D">
            <w:r w:rsidRPr="00865776">
              <w:t>- Степен на компресиране</w:t>
            </w:r>
          </w:p>
        </w:tc>
        <w:tc>
          <w:tcPr>
            <w:tcW w:w="3616" w:type="dxa"/>
          </w:tcPr>
          <w:p w:rsidR="002C0E72" w:rsidRPr="00865776" w:rsidRDefault="0061254C" w:rsidP="006B1D8D">
            <w:r>
              <w:t>Не по-малко от</w:t>
            </w:r>
            <w:r w:rsidR="002C0E72" w:rsidRPr="00865776">
              <w:t xml:space="preserve"> </w:t>
            </w:r>
            <w:r w:rsidR="002C0E72" w:rsidRPr="00865776">
              <w:rPr>
                <w:lang w:val="en-US"/>
              </w:rPr>
              <w:t>5</w:t>
            </w:r>
            <w:r w:rsidR="002C0E72" w:rsidRPr="00865776">
              <w:t xml:space="preserve"> към 1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2"/>
        </w:trPr>
        <w:tc>
          <w:tcPr>
            <w:tcW w:w="2339" w:type="dxa"/>
          </w:tcPr>
          <w:p w:rsidR="002C0E72" w:rsidRPr="00865776" w:rsidRDefault="002C0E72" w:rsidP="006B1D8D">
            <w:r w:rsidRPr="00865776">
              <w:t xml:space="preserve">- Хидравлична система 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- </w:t>
            </w:r>
            <w:proofErr w:type="spellStart"/>
            <w:r w:rsidRPr="00865776">
              <w:t>Двукръгова</w:t>
            </w:r>
            <w:proofErr w:type="spellEnd"/>
            <w:r w:rsidRPr="00865776">
              <w:t>, осигуряваща независима и едновременна работа на пресоващия и повдигащия механизъм;</w:t>
            </w:r>
          </w:p>
          <w:p w:rsidR="002C0E72" w:rsidRPr="00865776" w:rsidRDefault="002C0E72" w:rsidP="006B1D8D">
            <w:r w:rsidRPr="00865776">
              <w:t>- Ръчен и автоматичен режим на работа на пресоващия механизъм;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Изискване към изработката на бункера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- Изработен от </w:t>
            </w:r>
            <w:proofErr w:type="spellStart"/>
            <w:r w:rsidRPr="00865776">
              <w:t>износоустойчива</w:t>
            </w:r>
            <w:proofErr w:type="spellEnd"/>
            <w:r w:rsidRPr="00865776">
              <w:t xml:space="preserve"> стомана с дебелина на  под </w:t>
            </w:r>
            <w:r>
              <w:t xml:space="preserve">и </w:t>
            </w:r>
            <w:r w:rsidRPr="00865776">
              <w:t xml:space="preserve">стени </w:t>
            </w:r>
            <w:r w:rsidR="0061254C">
              <w:t>не по-малко от</w:t>
            </w:r>
            <w:r w:rsidRPr="00865776">
              <w:t xml:space="preserve"> </w:t>
            </w:r>
            <w:r>
              <w:t>4</w:t>
            </w:r>
            <w:r w:rsidRPr="00865776">
              <w:t xml:space="preserve"> мм 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-Вана за събиране на течности с кран за източване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- С обем </w:t>
            </w:r>
            <w:r w:rsidR="0061254C">
              <w:t>не по-малко от</w:t>
            </w:r>
            <w:r w:rsidRPr="00865776">
              <w:t xml:space="preserve"> 60 литра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  <w:rPr>
                <w:lang w:val="en-US"/>
              </w:rPr>
            </w:pPr>
            <w:r w:rsidRPr="00865776">
              <w:t xml:space="preserve">- Механизъм за повдигане и изпразване на контейнери 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 -комбиниран, за повдигане и изпразване на контейнери тип „Бобър” 1100 литра и кофи с обем 110 литра, 120 литра и 240 литра.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37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</w:t>
            </w:r>
            <w:proofErr w:type="spellStart"/>
            <w:r w:rsidRPr="00865776">
              <w:t>Степенки</w:t>
            </w:r>
            <w:proofErr w:type="spellEnd"/>
            <w:r w:rsidRPr="00865776">
              <w:t xml:space="preserve"> за операторите в задната част на надстройката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7C6E6E">
              <w:t>-2 броя</w:t>
            </w:r>
          </w:p>
        </w:tc>
        <w:tc>
          <w:tcPr>
            <w:tcW w:w="3223" w:type="dxa"/>
          </w:tcPr>
          <w:p w:rsidR="002C0E72" w:rsidRPr="007C6E6E" w:rsidRDefault="002C0E72" w:rsidP="006B1D8D"/>
        </w:tc>
      </w:tr>
      <w:tr w:rsidR="002C0E72" w:rsidRPr="00865776" w:rsidTr="002C0E72">
        <w:trPr>
          <w:trHeight w:val="348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 xml:space="preserve">-Изискване за  товарене </w:t>
            </w:r>
            <w:proofErr w:type="spellStart"/>
            <w:r w:rsidRPr="00865776">
              <w:t>надсройката</w:t>
            </w:r>
            <w:proofErr w:type="spellEnd"/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-  със задно товарене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65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Пултове за управление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 xml:space="preserve">- Пултове за управление на надстройката от операторите, монтирани от лявата и дясна част на </w:t>
            </w:r>
            <w:proofErr w:type="spellStart"/>
            <w:r w:rsidRPr="00865776">
              <w:t>шутунга</w:t>
            </w:r>
            <w:proofErr w:type="spellEnd"/>
            <w:r w:rsidRPr="00865776">
              <w:t xml:space="preserve"> с електрохидравлично управление на функциите;</w:t>
            </w:r>
          </w:p>
          <w:p w:rsidR="002C0E72" w:rsidRPr="00865776" w:rsidRDefault="002C0E72" w:rsidP="006B1D8D">
            <w:r w:rsidRPr="00865776">
              <w:lastRenderedPageBreak/>
              <w:t>- Пулт за управление на надстройката в кабината на водача;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  <w:tr w:rsidR="002C0E72" w:rsidRPr="00865776" w:rsidTr="002C0E72">
        <w:trPr>
          <w:trHeight w:val="353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lastRenderedPageBreak/>
              <w:t>- Светлинна сигнализация</w:t>
            </w:r>
          </w:p>
        </w:tc>
        <w:tc>
          <w:tcPr>
            <w:tcW w:w="3616" w:type="dxa"/>
          </w:tcPr>
          <w:p w:rsidR="002C0E72" w:rsidRDefault="002C0E72" w:rsidP="006B1D8D">
            <w:r>
              <w:t xml:space="preserve"> - </w:t>
            </w:r>
            <w:r w:rsidR="0061254C">
              <w:t>Не по-малко от</w:t>
            </w:r>
            <w:r>
              <w:t xml:space="preserve"> един брой прожектор разположен в горната част на задния капак на бункера</w:t>
            </w:r>
          </w:p>
          <w:p w:rsidR="002C0E72" w:rsidRPr="00092816" w:rsidRDefault="002C0E72" w:rsidP="006B1D8D">
            <w:pPr>
              <w:rPr>
                <w:lang w:val="en-US"/>
              </w:rPr>
            </w:pPr>
            <w:r>
              <w:t xml:space="preserve">- </w:t>
            </w:r>
            <w:r w:rsidR="0061254C">
              <w:t>Не по-малко от</w:t>
            </w:r>
            <w:r>
              <w:t xml:space="preserve"> един брой жълта светлина в задната част на автомобила </w:t>
            </w:r>
          </w:p>
        </w:tc>
        <w:tc>
          <w:tcPr>
            <w:tcW w:w="3223" w:type="dxa"/>
          </w:tcPr>
          <w:p w:rsidR="002C0E72" w:rsidRDefault="002C0E72" w:rsidP="006B1D8D"/>
        </w:tc>
      </w:tr>
      <w:tr w:rsidR="002C0E72" w:rsidRPr="00865776" w:rsidTr="002C0E72">
        <w:trPr>
          <w:trHeight w:val="353"/>
        </w:trPr>
        <w:tc>
          <w:tcPr>
            <w:tcW w:w="2339" w:type="dxa"/>
          </w:tcPr>
          <w:p w:rsidR="002C0E72" w:rsidRPr="00865776" w:rsidRDefault="002C0E72" w:rsidP="006B1D8D">
            <w:pPr>
              <w:jc w:val="both"/>
            </w:pPr>
            <w:r w:rsidRPr="00865776">
              <w:t>- Система за безопасност</w:t>
            </w:r>
          </w:p>
        </w:tc>
        <w:tc>
          <w:tcPr>
            <w:tcW w:w="3616" w:type="dxa"/>
          </w:tcPr>
          <w:p w:rsidR="002C0E72" w:rsidRPr="00865776" w:rsidRDefault="002C0E72" w:rsidP="006B1D8D">
            <w:r w:rsidRPr="00865776">
              <w:t>- Ръкохватки за операторите за задържане при движение на автомобила;</w:t>
            </w:r>
          </w:p>
          <w:p w:rsidR="002C0E72" w:rsidRPr="00865776" w:rsidRDefault="002C0E72" w:rsidP="006B1D8D">
            <w:r w:rsidRPr="00865776">
              <w:t>- Аварийни бутони на пултовете за управление на операторите и водача, изключващи всички функции на работа</w:t>
            </w:r>
            <w:r w:rsidRPr="00865776">
              <w:rPr>
                <w:lang w:val="en-US"/>
              </w:rPr>
              <w:t xml:space="preserve"> </w:t>
            </w:r>
            <w:r w:rsidRPr="00865776">
              <w:t>кабината</w:t>
            </w:r>
          </w:p>
          <w:p w:rsidR="002C0E72" w:rsidRPr="00AB20DA" w:rsidRDefault="002C0E72" w:rsidP="006B1D8D">
            <w:pPr>
              <w:rPr>
                <w:lang w:val="en-US"/>
              </w:rPr>
            </w:pPr>
            <w:r w:rsidRPr="00865776">
              <w:t>-</w:t>
            </w:r>
            <w:r w:rsidR="00AB20DA">
              <w:rPr>
                <w:lang w:val="en-US"/>
              </w:rPr>
              <w:t xml:space="preserve"> </w:t>
            </w:r>
            <w:r w:rsidRPr="00865776">
              <w:t xml:space="preserve">Бутони на пултовете за управление на операторите със зумер </w:t>
            </w:r>
            <w:r w:rsidRPr="00865776">
              <w:rPr>
                <w:lang w:val="en-US"/>
              </w:rPr>
              <w:t>(</w:t>
            </w:r>
            <w:r w:rsidRPr="00865776">
              <w:t>звуково устройство</w:t>
            </w:r>
            <w:r w:rsidRPr="00865776">
              <w:rPr>
                <w:lang w:val="en-US"/>
              </w:rPr>
              <w:t>)</w:t>
            </w:r>
            <w:r w:rsidRPr="00865776">
              <w:t xml:space="preserve"> в кабината;</w:t>
            </w:r>
          </w:p>
          <w:p w:rsidR="002C0E72" w:rsidRPr="00865776" w:rsidRDefault="002C0E72" w:rsidP="006B1D8D">
            <w:r w:rsidRPr="007C6E6E">
              <w:t>-</w:t>
            </w:r>
            <w:r>
              <w:t xml:space="preserve">Управление на задния капак на бункера (отваряне и затваряне) и </w:t>
            </w:r>
            <w:proofErr w:type="spellStart"/>
            <w:r>
              <w:t>компактираща</w:t>
            </w:r>
            <w:proofErr w:type="spellEnd"/>
            <w:r>
              <w:t xml:space="preserve"> и разтоварваща плоча (движение напред и назад) чрез пулт с бутони изискващи едновременна работа с двете ръце;</w:t>
            </w:r>
          </w:p>
          <w:p w:rsidR="002C0E72" w:rsidRPr="00865776" w:rsidRDefault="002C0E72" w:rsidP="006B1D8D">
            <w:r w:rsidRPr="00865776">
              <w:t>-Видеокамера в задната част с монитор в кабината</w:t>
            </w:r>
            <w:r>
              <w:t>;</w:t>
            </w:r>
          </w:p>
          <w:p w:rsidR="002C0E72" w:rsidRPr="00865776" w:rsidRDefault="002C0E72" w:rsidP="006B1D8D">
            <w:r w:rsidRPr="00865776">
              <w:t xml:space="preserve"> -Блокиране на движението на заден ход при наличие на оператор върху </w:t>
            </w:r>
            <w:proofErr w:type="spellStart"/>
            <w:r w:rsidRPr="00865776">
              <w:t>степенката</w:t>
            </w:r>
            <w:proofErr w:type="spellEnd"/>
            <w:r>
              <w:t>;</w:t>
            </w:r>
          </w:p>
          <w:p w:rsidR="002C0E72" w:rsidRPr="00865776" w:rsidRDefault="002C0E72" w:rsidP="006B1D8D">
            <w:r w:rsidRPr="00865776">
              <w:t xml:space="preserve">-Изключване на работата на надстройката при наличие на оператор върху задните </w:t>
            </w:r>
            <w:proofErr w:type="spellStart"/>
            <w:r w:rsidRPr="00865776">
              <w:t>степенки</w:t>
            </w:r>
            <w:proofErr w:type="spellEnd"/>
          </w:p>
          <w:p w:rsidR="002C0E72" w:rsidRPr="00865776" w:rsidRDefault="002C0E72" w:rsidP="006B1D8D">
            <w:r w:rsidRPr="00865776">
              <w:t>-Звуков сигнал при движение на заден ход</w:t>
            </w:r>
          </w:p>
          <w:p w:rsidR="002C0E72" w:rsidRPr="00865776" w:rsidRDefault="002C0E72" w:rsidP="006B1D8D">
            <w:r w:rsidRPr="00865776">
              <w:t>-Автоматично ограничаване на скоростта на</w:t>
            </w:r>
            <w:r>
              <w:rPr>
                <w:lang w:val="en-US"/>
              </w:rPr>
              <w:t xml:space="preserve"> </w:t>
            </w:r>
            <w:r w:rsidRPr="00865776">
              <w:t xml:space="preserve">автомобила при наличие на оператор върху </w:t>
            </w:r>
            <w:proofErr w:type="spellStart"/>
            <w:r w:rsidRPr="00865776">
              <w:t>степенките</w:t>
            </w:r>
            <w:proofErr w:type="spellEnd"/>
            <w:r w:rsidRPr="00865776">
              <w:t xml:space="preserve"> в задната част на автомобила</w:t>
            </w:r>
          </w:p>
        </w:tc>
        <w:tc>
          <w:tcPr>
            <w:tcW w:w="3223" w:type="dxa"/>
          </w:tcPr>
          <w:p w:rsidR="002C0E72" w:rsidRPr="00865776" w:rsidRDefault="002C0E72" w:rsidP="006B1D8D"/>
        </w:tc>
      </w:tr>
    </w:tbl>
    <w:p w:rsidR="003222F6" w:rsidRPr="00A63F93" w:rsidRDefault="003222F6" w:rsidP="003222F6">
      <w:pPr>
        <w:jc w:val="both"/>
        <w:rPr>
          <w:rStyle w:val="FontStyle60"/>
        </w:rPr>
      </w:pPr>
    </w:p>
    <w:p w:rsidR="003222F6" w:rsidRPr="00865776" w:rsidRDefault="003222F6" w:rsidP="003222F6"/>
    <w:p w:rsidR="003222F6" w:rsidRDefault="003222F6" w:rsidP="003222F6">
      <w:pPr>
        <w:pStyle w:val="aa"/>
        <w:ind w:left="0" w:firstLine="709"/>
        <w:jc w:val="both"/>
        <w:rPr>
          <w:i/>
        </w:rPr>
      </w:pP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Забележка:  Участниците са длъжни да дадат своите предложения за всяка от посочените в горната таблица технически характеристики.</w:t>
      </w:r>
      <w:proofErr w:type="gramEnd"/>
      <w:r w:rsidRPr="00865776">
        <w:rPr>
          <w:i/>
        </w:rPr>
        <w:t xml:space="preserve"> В случай че участник не даде предложение, което отговаря на изискванията на възложителя за някоя от техническите характеристики, то същият ще бъде предложен за отстраняване от участие в процедурата.</w:t>
      </w:r>
    </w:p>
    <w:p w:rsidR="003222F6" w:rsidRPr="00865776" w:rsidRDefault="00726EB1" w:rsidP="003222F6">
      <w:pPr>
        <w:pStyle w:val="aa"/>
        <w:ind w:left="0" w:firstLine="709"/>
        <w:jc w:val="both"/>
      </w:pPr>
      <w:r>
        <w:t xml:space="preserve">2. </w:t>
      </w:r>
      <w:r w:rsidR="003222F6" w:rsidRPr="00865776">
        <w:t>Декларираме, че сме съгласни с клаузите на приложения проект на договор към документацията за участие в процедурата.</w:t>
      </w:r>
    </w:p>
    <w:p w:rsidR="003222F6" w:rsidRPr="00726EB1" w:rsidRDefault="003222F6" w:rsidP="003222F6">
      <w:pPr>
        <w:pStyle w:val="aa"/>
        <w:ind w:left="0" w:firstLine="709"/>
        <w:rPr>
          <w:color w:val="FF0000"/>
        </w:rPr>
      </w:pPr>
      <w:r w:rsidRPr="00726EB1">
        <w:lastRenderedPageBreak/>
        <w:t>3.  Декларираме</w:t>
      </w:r>
      <w:r w:rsidR="00264612" w:rsidRPr="00726EB1">
        <w:t xml:space="preserve"> съгласие</w:t>
      </w:r>
      <w:r w:rsidRPr="00726EB1">
        <w:t xml:space="preserve"> срокът на валидност на оферта </w:t>
      </w:r>
      <w:r w:rsidR="00264612" w:rsidRPr="00726EB1">
        <w:t xml:space="preserve">да </w:t>
      </w:r>
      <w:r w:rsidRPr="00726EB1">
        <w:t>е 120 календарни дни</w:t>
      </w:r>
      <w:r w:rsidR="00264612" w:rsidRPr="00726EB1">
        <w:t>, като същият може да се увели</w:t>
      </w:r>
      <w:r w:rsidR="004936E2" w:rsidRPr="00726EB1">
        <w:t>ч</w:t>
      </w:r>
      <w:r w:rsidR="00264612" w:rsidRPr="00726EB1">
        <w:t>и при поискване от страна на Възложителя</w:t>
      </w:r>
      <w:r w:rsidRPr="00726EB1">
        <w:t>.</w:t>
      </w:r>
      <w:r w:rsidR="00264612" w:rsidRPr="00726EB1">
        <w:t xml:space="preserve"> </w:t>
      </w:r>
    </w:p>
    <w:p w:rsidR="003222F6" w:rsidRPr="00865776" w:rsidRDefault="00A63F93" w:rsidP="003222F6">
      <w:pPr>
        <w:pStyle w:val="aa"/>
        <w:ind w:left="0" w:firstLine="709"/>
        <w:jc w:val="both"/>
      </w:pPr>
      <w:r w:rsidRPr="00726EB1">
        <w:t>4</w:t>
      </w:r>
      <w:r w:rsidR="003222F6" w:rsidRPr="00726EB1">
        <w:t>. Декларираме, че предлагания от нас нов специализиран автомобил</w:t>
      </w:r>
      <w:r w:rsidR="003222F6" w:rsidRPr="00865776">
        <w:t xml:space="preserve"> за сметосъбиране и сметоизвозване отговаря на законодателните норми на стандарт за вредни емисии на изгорелите газове Евро 6 (</w:t>
      </w:r>
      <w:r w:rsidR="003222F6" w:rsidRPr="00865776">
        <w:rPr>
          <w:lang w:val="en-US"/>
        </w:rPr>
        <w:t>EURO 6</w:t>
      </w:r>
      <w:r w:rsidR="003222F6" w:rsidRPr="00865776">
        <w:t>).</w:t>
      </w:r>
    </w:p>
    <w:p w:rsidR="00726EB1" w:rsidRDefault="00A63F93" w:rsidP="003222F6">
      <w:pPr>
        <w:pStyle w:val="aa"/>
        <w:ind w:left="0" w:firstLine="709"/>
        <w:jc w:val="both"/>
      </w:pPr>
      <w:r>
        <w:t>5</w:t>
      </w:r>
      <w:r w:rsidR="003222F6" w:rsidRPr="00865776">
        <w:t xml:space="preserve">. </w:t>
      </w:r>
      <w:r w:rsidR="00726EB1">
        <w:t>Декларираме, че п</w:t>
      </w:r>
      <w:r w:rsidR="00726EB1" w:rsidRPr="00955A04"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труд;</w:t>
      </w:r>
    </w:p>
    <w:p w:rsidR="00726EB1" w:rsidRPr="00865776" w:rsidRDefault="00955A04" w:rsidP="00726EB1">
      <w:pPr>
        <w:pStyle w:val="aa"/>
        <w:ind w:left="0" w:firstLine="709"/>
        <w:jc w:val="both"/>
      </w:pPr>
      <w:r w:rsidRPr="00955A04">
        <w:t xml:space="preserve">6. </w:t>
      </w:r>
      <w:r w:rsidR="00726EB1">
        <w:t>Предлагаме г</w:t>
      </w:r>
      <w:r w:rsidR="00726EB1" w:rsidRPr="00865776">
        <w:t xml:space="preserve">аранционният срок за </w:t>
      </w:r>
      <w:r w:rsidR="00726EB1">
        <w:t>н</w:t>
      </w:r>
      <w:r w:rsidR="00726EB1" w:rsidRPr="00865776">
        <w:t>ов</w:t>
      </w:r>
      <w:r w:rsidR="00726EB1">
        <w:t>ия</w:t>
      </w:r>
      <w:r w:rsidR="00726EB1" w:rsidRPr="00865776">
        <w:t xml:space="preserve"> специализиран автомобил за сметосъбиране и сметоизвозване </w:t>
      </w:r>
      <w:r w:rsidR="00726EB1">
        <w:t xml:space="preserve">да е </w:t>
      </w:r>
      <w:r w:rsidR="00726EB1" w:rsidRPr="00865776">
        <w:t xml:space="preserve"> …………………………….. (гаранционния срок се посочва в календарни месеци </w:t>
      </w:r>
      <w:r w:rsidR="003C48A1">
        <w:t xml:space="preserve">или пробег в километри </w:t>
      </w:r>
      <w:r w:rsidR="00726EB1" w:rsidRPr="00865776">
        <w:t>и тече от датата на приемане на доставката след регистрацията в КАТ и подписване на протокол за регистрация).</w:t>
      </w:r>
    </w:p>
    <w:p w:rsidR="00955A04" w:rsidRPr="00726EB1" w:rsidRDefault="00726EB1" w:rsidP="00726EB1">
      <w:pPr>
        <w:pStyle w:val="aa"/>
        <w:ind w:left="0" w:firstLine="709"/>
        <w:jc w:val="both"/>
        <w:rPr>
          <w:i/>
        </w:rPr>
      </w:pPr>
      <w:r w:rsidRPr="00865776">
        <w:rPr>
          <w:i/>
        </w:rPr>
        <w:t>* Забележка: Минималният гаранционен срок следва да е не по-малък от 24 месеца</w:t>
      </w:r>
      <w:r w:rsidR="003C48A1">
        <w:rPr>
          <w:i/>
        </w:rPr>
        <w:t xml:space="preserve"> или 80 000 километра</w:t>
      </w:r>
      <w:r w:rsidRPr="00865776">
        <w:rPr>
          <w:i/>
        </w:rPr>
        <w:t>.</w:t>
      </w:r>
    </w:p>
    <w:p w:rsidR="003222F6" w:rsidRPr="00865776" w:rsidRDefault="00955A04" w:rsidP="003222F6">
      <w:pPr>
        <w:pStyle w:val="aa"/>
        <w:ind w:left="0" w:firstLine="709"/>
        <w:jc w:val="both"/>
      </w:pPr>
      <w:r>
        <w:t>7</w:t>
      </w:r>
      <w:r w:rsidR="003222F6" w:rsidRPr="00865776">
        <w:t xml:space="preserve">. Предлагаме срок за изпълнение/ доставка: ……………………………… календарни дни от получаването от Изпълнителя на </w:t>
      </w:r>
      <w:proofErr w:type="spellStart"/>
      <w:r w:rsidR="003222F6" w:rsidRPr="00865776">
        <w:t>възлагателно</w:t>
      </w:r>
      <w:proofErr w:type="spellEnd"/>
      <w:r w:rsidR="003222F6" w:rsidRPr="00865776">
        <w:t xml:space="preserve"> писмо, включващо писмено уведомяване от Възложителя до Изпълнителя, че са осигурени средства за заплащане на специализирани</w:t>
      </w:r>
      <w:r w:rsidR="003222F6">
        <w:t>я</w:t>
      </w:r>
      <w:r w:rsidR="003222F6" w:rsidRPr="00865776">
        <w:t xml:space="preserve"> автомобил за сметосъбиране и сметоизвозване, и/или </w:t>
      </w:r>
      <w:proofErr w:type="spellStart"/>
      <w:r w:rsidR="003222F6" w:rsidRPr="00865776">
        <w:t>възлагателно</w:t>
      </w:r>
      <w:proofErr w:type="spellEnd"/>
      <w:r w:rsidR="003222F6" w:rsidRPr="00865776">
        <w:t xml:space="preserve"> писмо, включващо писмено уведомяване, от Възложителя до Изпълнителя, че е съгласен същия да бъде доставен</w:t>
      </w:r>
    </w:p>
    <w:p w:rsidR="003222F6" w:rsidRPr="00865776" w:rsidRDefault="003222F6" w:rsidP="003222F6">
      <w:pPr>
        <w:pStyle w:val="aa"/>
        <w:ind w:left="0" w:firstLine="709"/>
        <w:rPr>
          <w:i/>
        </w:rPr>
      </w:pPr>
      <w:r w:rsidRPr="00865776">
        <w:rPr>
          <w:i/>
        </w:rPr>
        <w:t xml:space="preserve"> </w:t>
      </w: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 – не се допуска срокът на доставка да се предлага в дробни числа (предлага се само в цели числа).</w:t>
      </w:r>
      <w:proofErr w:type="gramEnd"/>
      <w:r w:rsidRPr="00865776">
        <w:rPr>
          <w:i/>
        </w:rPr>
        <w:t xml:space="preserve"> Максималният срок за доставка е до 120 (сто и двадесет) календарни дни от датата на получаване от Изпълнителя на </w:t>
      </w:r>
      <w:proofErr w:type="spellStart"/>
      <w:r w:rsidRPr="00865776">
        <w:rPr>
          <w:i/>
        </w:rPr>
        <w:t>възлагателно</w:t>
      </w:r>
      <w:proofErr w:type="spellEnd"/>
      <w:r w:rsidRPr="00865776">
        <w:rPr>
          <w:i/>
        </w:rPr>
        <w:t xml:space="preserve"> писмо от Възложителя.</w:t>
      </w:r>
    </w:p>
    <w:p w:rsidR="003222F6" w:rsidRPr="00865776" w:rsidRDefault="003222F6" w:rsidP="003222F6">
      <w:pPr>
        <w:pStyle w:val="aa"/>
        <w:ind w:left="0" w:firstLine="709"/>
      </w:pPr>
      <w:r w:rsidRPr="00865776">
        <w:t xml:space="preserve">8. В гаранционния срок се задължаваме да осигурим регулярното гаранционно </w:t>
      </w:r>
      <w:r w:rsidRPr="00865776">
        <w:rPr>
          <w:lang w:val="en-US"/>
        </w:rPr>
        <w:t>(</w:t>
      </w:r>
      <w:r w:rsidRPr="00865776">
        <w:t>сервизно</w:t>
      </w:r>
      <w:r w:rsidRPr="00865776">
        <w:rPr>
          <w:lang w:val="en-US"/>
        </w:rPr>
        <w:t xml:space="preserve">) </w:t>
      </w:r>
      <w:r w:rsidRPr="00865776">
        <w:t>обслужване на специализирани</w:t>
      </w:r>
      <w:r>
        <w:t>я автомобил</w:t>
      </w:r>
      <w:r w:rsidRPr="00865776">
        <w:t xml:space="preserve"> за сметосъбиране и сметоизвозване (като консумативи, масла, накладки, филтри и т.н.) в срок от 7 </w:t>
      </w:r>
      <w:r w:rsidRPr="00865776">
        <w:rPr>
          <w:lang w:val="en-US"/>
        </w:rPr>
        <w:t>(</w:t>
      </w:r>
      <w:r w:rsidRPr="00865776">
        <w:t>седем</w:t>
      </w:r>
      <w:r w:rsidRPr="00865776">
        <w:rPr>
          <w:lang w:val="en-US"/>
        </w:rPr>
        <w:t xml:space="preserve">) </w:t>
      </w:r>
      <w:r w:rsidRPr="00865776">
        <w:t>календарни дни, считано от датата на постъпване  на заявка за обслужване от страна на Възложителя.</w:t>
      </w:r>
    </w:p>
    <w:p w:rsidR="003222F6" w:rsidRPr="00865776" w:rsidRDefault="003222F6" w:rsidP="003222F6">
      <w:pPr>
        <w:pStyle w:val="aa"/>
        <w:ind w:left="0" w:firstLine="709"/>
        <w:jc w:val="both"/>
        <w:rPr>
          <w:i/>
        </w:rPr>
      </w:pPr>
      <w:r w:rsidRPr="003C48A1">
        <w:rPr>
          <w:i/>
          <w:lang w:val="en-US"/>
        </w:rPr>
        <w:t>*</w:t>
      </w:r>
      <w:r w:rsidRPr="003C48A1">
        <w:rPr>
          <w:i/>
        </w:rPr>
        <w:t xml:space="preserve">Забележка: Под „Регулярно гаранционно </w:t>
      </w:r>
      <w:r w:rsidRPr="003C48A1">
        <w:rPr>
          <w:i/>
          <w:lang w:val="en-US"/>
        </w:rPr>
        <w:t>(</w:t>
      </w:r>
      <w:r w:rsidRPr="003C48A1">
        <w:rPr>
          <w:i/>
        </w:rPr>
        <w:t>сервизно</w:t>
      </w:r>
      <w:r w:rsidRPr="003C48A1">
        <w:rPr>
          <w:i/>
          <w:lang w:val="en-US"/>
        </w:rPr>
        <w:t xml:space="preserve">) </w:t>
      </w:r>
      <w:r w:rsidRPr="003C48A1">
        <w:rPr>
          <w:i/>
        </w:rPr>
        <w:t>обслужване</w:t>
      </w:r>
      <w:proofErr w:type="gramStart"/>
      <w:r w:rsidRPr="003C48A1">
        <w:rPr>
          <w:i/>
        </w:rPr>
        <w:t>“ се</w:t>
      </w:r>
      <w:proofErr w:type="gramEnd"/>
      <w:r w:rsidRPr="003C48A1">
        <w:rPr>
          <w:i/>
        </w:rPr>
        <w:t xml:space="preserve"> имат предвид планувани (като период от време, изминат пробег в километри или часове експлоатация) гаранционни дейности според Техническата документация на Автомобила.</w:t>
      </w:r>
    </w:p>
    <w:p w:rsidR="003222F6" w:rsidRPr="00865776" w:rsidRDefault="003222F6" w:rsidP="003222F6">
      <w:pPr>
        <w:jc w:val="both"/>
      </w:pPr>
      <w:r w:rsidRPr="00865776">
        <w:tab/>
        <w:t xml:space="preserve">9. В гаранционния срок носим гаранционна отговорност и се задължаваме да осигурим отстраняването на останали нерегулярни гаранционни дефекти в срок до 15 </w:t>
      </w:r>
      <w:r w:rsidRPr="00865776">
        <w:rPr>
          <w:lang w:val="en-US"/>
        </w:rPr>
        <w:t>(</w:t>
      </w:r>
      <w:r w:rsidRPr="00865776">
        <w:t>петнадесет</w:t>
      </w:r>
      <w:r w:rsidRPr="00865776">
        <w:rPr>
          <w:lang w:val="en-US"/>
        </w:rPr>
        <w:t>)</w:t>
      </w:r>
      <w:r w:rsidRPr="00865776">
        <w:t xml:space="preserve"> календарни дни от постъпване на автомобила в сервизна база.</w:t>
      </w:r>
    </w:p>
    <w:p w:rsidR="003222F6" w:rsidRPr="00865776" w:rsidRDefault="003222F6" w:rsidP="003222F6">
      <w:pPr>
        <w:pStyle w:val="aa"/>
        <w:ind w:left="0" w:firstLine="709"/>
        <w:jc w:val="both"/>
        <w:rPr>
          <w:i/>
        </w:rPr>
      </w:pPr>
      <w:r w:rsidRPr="00865776">
        <w:rPr>
          <w:i/>
        </w:rPr>
        <w:t>*Забележка: Под „Нерегулярни гаранционни дефекти“ се имат предвид всички дефекти, които възникват внезапно и не представляват регулярно гаранционно обслужване.</w:t>
      </w:r>
    </w:p>
    <w:p w:rsidR="003222F6" w:rsidRPr="0060423F" w:rsidRDefault="003222F6" w:rsidP="0060423F">
      <w:pPr>
        <w:autoSpaceDE w:val="0"/>
        <w:autoSpaceDN w:val="0"/>
        <w:adjustRightInd w:val="0"/>
        <w:jc w:val="both"/>
        <w:rPr>
          <w:lang w:val="en-US"/>
        </w:rPr>
      </w:pPr>
      <w:r w:rsidRPr="00865776">
        <w:t xml:space="preserve"> </w:t>
      </w:r>
    </w:p>
    <w:p w:rsidR="003222F6" w:rsidRDefault="003222F6" w:rsidP="00A63F93">
      <w:r w:rsidRPr="00865776">
        <w:t>Приложение:………………………………………………………….</w:t>
      </w:r>
    </w:p>
    <w:p w:rsidR="00A63F93" w:rsidRPr="0060423F" w:rsidRDefault="00264612" w:rsidP="0060423F">
      <w:pPr>
        <w:spacing w:after="120"/>
        <w:rPr>
          <w:i/>
          <w:lang w:val="en-US"/>
        </w:rPr>
      </w:pPr>
      <w:r w:rsidRPr="00E91D7E">
        <w:rPr>
          <w:i/>
        </w:rPr>
        <w:t xml:space="preserve">(снимков материал;  документи за доказване на техническите параметри на предлаганата машина;  разрешение от производителя на базовия автомобил или оторизиран негов представител, за монтиране на </w:t>
      </w:r>
      <w:proofErr w:type="spellStart"/>
      <w:r w:rsidRPr="00E91D7E">
        <w:rPr>
          <w:i/>
        </w:rPr>
        <w:t>сметосъбираща</w:t>
      </w:r>
      <w:proofErr w:type="spellEnd"/>
      <w:r w:rsidRPr="00E91D7E">
        <w:rPr>
          <w:i/>
        </w:rPr>
        <w:t xml:space="preserve"> надстройка)</w:t>
      </w:r>
    </w:p>
    <w:p w:rsidR="00A63F93" w:rsidRPr="00865776" w:rsidRDefault="00A63F93" w:rsidP="003222F6">
      <w:pPr>
        <w:pStyle w:val="aa"/>
        <w:ind w:left="850"/>
      </w:pP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spacing w:after="120"/>
      </w:pPr>
      <w:r w:rsidRPr="00865776">
        <w:rPr>
          <w:b/>
        </w:rPr>
        <w:t>Дата …………………..</w:t>
      </w:r>
      <w:r w:rsidRPr="00865776">
        <w:rPr>
          <w:b/>
        </w:rPr>
        <w:tab/>
      </w:r>
      <w:r w:rsidRPr="00865776">
        <w:rPr>
          <w:b/>
        </w:rPr>
        <w:tab/>
      </w:r>
      <w:r w:rsidRPr="00865776">
        <w:rPr>
          <w:b/>
        </w:rPr>
        <w:tab/>
        <w:t>Подпис и печат…………………………</w:t>
      </w:r>
    </w:p>
    <w:p w:rsidR="003222F6" w:rsidRDefault="003222F6" w:rsidP="003222F6">
      <w:pPr>
        <w:spacing w:after="120"/>
      </w:pPr>
      <w:r w:rsidRPr="00865776">
        <w:t xml:space="preserve">                                             </w:t>
      </w:r>
      <w:r w:rsidR="00A63F93">
        <w:t xml:space="preserve">                    </w:t>
      </w:r>
      <w:r w:rsidRPr="00865776">
        <w:t xml:space="preserve"> /изписва се името на подписващия и длъжността/</w:t>
      </w:r>
    </w:p>
    <w:p w:rsidR="00A63F93" w:rsidRPr="00865776" w:rsidRDefault="00A63F93" w:rsidP="003222F6">
      <w:pPr>
        <w:spacing w:after="120"/>
      </w:pPr>
    </w:p>
    <w:p w:rsidR="003222F6" w:rsidRPr="00865776" w:rsidRDefault="003222F6" w:rsidP="003222F6">
      <w:pPr>
        <w:spacing w:after="120"/>
      </w:pPr>
      <w:r w:rsidRPr="00865776">
        <w:t>*</w:t>
      </w:r>
      <w:r w:rsidRPr="00865776">
        <w:rPr>
          <w:i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</w:t>
      </w:r>
    </w:p>
    <w:sectPr w:rsidR="003222F6" w:rsidRPr="00865776" w:rsidSect="00083BFD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0C" w:rsidRDefault="00A94B0C" w:rsidP="002D0C2E">
      <w:r>
        <w:separator/>
      </w:r>
    </w:p>
  </w:endnote>
  <w:endnote w:type="continuationSeparator" w:id="0">
    <w:p w:rsidR="00A94B0C" w:rsidRDefault="00A94B0C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0C" w:rsidRDefault="00A94B0C" w:rsidP="002D0C2E">
      <w:r>
        <w:separator/>
      </w:r>
    </w:p>
  </w:footnote>
  <w:footnote w:type="continuationSeparator" w:id="0">
    <w:p w:rsidR="00A94B0C" w:rsidRDefault="00A94B0C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FD" w:rsidRDefault="00083BFD" w:rsidP="00083BFD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40321881" wp14:editId="5CE2DB89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60D0C56" wp14:editId="3D9EF27E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AEE8" wp14:editId="7547B9A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12655B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ED6C06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06" w:rsidRDefault="00ED6C06" w:rsidP="00ED6C06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 w:rsidRPr="00ED6C06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text="t" shapetype="t"/>
              <v:textbox style="mso-fit-shape-to-text:t">
                <w:txbxContent>
                  <w:p w:rsidR="00ED6C06" w:rsidRDefault="00ED6C06" w:rsidP="00ED6C06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 w:rsidRPr="00ED6C06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083BFD" w:rsidRPr="009E4EDF" w:rsidRDefault="00083BFD" w:rsidP="00083BFD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83BFD" w:rsidRPr="009E4EDF" w:rsidRDefault="00083BFD" w:rsidP="00083BFD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1B0E"/>
    <w:multiLevelType w:val="hybridMultilevel"/>
    <w:tmpl w:val="4A0E4B4C"/>
    <w:lvl w:ilvl="0" w:tplc="D2082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3680B"/>
    <w:multiLevelType w:val="hybridMultilevel"/>
    <w:tmpl w:val="64C0799E"/>
    <w:lvl w:ilvl="0" w:tplc="D208221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5F87"/>
    <w:rsid w:val="00044706"/>
    <w:rsid w:val="00047DC4"/>
    <w:rsid w:val="00083BFD"/>
    <w:rsid w:val="000B49D8"/>
    <w:rsid w:val="001532B7"/>
    <w:rsid w:val="001815E6"/>
    <w:rsid w:val="00264612"/>
    <w:rsid w:val="002A086C"/>
    <w:rsid w:val="002C0E72"/>
    <w:rsid w:val="002D0C2E"/>
    <w:rsid w:val="003222F6"/>
    <w:rsid w:val="00356C58"/>
    <w:rsid w:val="003A77E6"/>
    <w:rsid w:val="003C48A1"/>
    <w:rsid w:val="003E2FF6"/>
    <w:rsid w:val="004936E2"/>
    <w:rsid w:val="004E3883"/>
    <w:rsid w:val="0054105B"/>
    <w:rsid w:val="005A0941"/>
    <w:rsid w:val="005B2AC3"/>
    <w:rsid w:val="005C53A9"/>
    <w:rsid w:val="005F070B"/>
    <w:rsid w:val="0060423F"/>
    <w:rsid w:val="0061254C"/>
    <w:rsid w:val="00617C5B"/>
    <w:rsid w:val="00650421"/>
    <w:rsid w:val="006540EC"/>
    <w:rsid w:val="006C0815"/>
    <w:rsid w:val="006E4640"/>
    <w:rsid w:val="00713976"/>
    <w:rsid w:val="00726EB1"/>
    <w:rsid w:val="00733607"/>
    <w:rsid w:val="007C69FF"/>
    <w:rsid w:val="007F44E9"/>
    <w:rsid w:val="00805E1C"/>
    <w:rsid w:val="00955A04"/>
    <w:rsid w:val="00965082"/>
    <w:rsid w:val="009D360A"/>
    <w:rsid w:val="00A132AE"/>
    <w:rsid w:val="00A63F93"/>
    <w:rsid w:val="00A91697"/>
    <w:rsid w:val="00A92630"/>
    <w:rsid w:val="00A94B0C"/>
    <w:rsid w:val="00AA41DD"/>
    <w:rsid w:val="00AB20DA"/>
    <w:rsid w:val="00B37FC9"/>
    <w:rsid w:val="00BA4CE1"/>
    <w:rsid w:val="00BA5701"/>
    <w:rsid w:val="00CF7CAA"/>
    <w:rsid w:val="00D6357F"/>
    <w:rsid w:val="00D87CB7"/>
    <w:rsid w:val="00DB4F6A"/>
    <w:rsid w:val="00DD0E30"/>
    <w:rsid w:val="00E532F5"/>
    <w:rsid w:val="00E90FA9"/>
    <w:rsid w:val="00E91D7E"/>
    <w:rsid w:val="00EC4CA9"/>
    <w:rsid w:val="00ED6C06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ED6C06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c">
    <w:name w:val="No Spacing"/>
    <w:qFormat/>
    <w:rsid w:val="007C69FF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rsid w:val="007C69FF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7C69FF"/>
    <w:pPr>
      <w:widowControl w:val="0"/>
      <w:suppressAutoHyphens/>
    </w:pPr>
    <w:rPr>
      <w:rFonts w:eastAsia="Times New Roman" w:cs="Times New Roman"/>
      <w:noProof/>
      <w:sz w:val="20"/>
      <w:szCs w:val="20"/>
      <w:lang w:eastAsia="bg-BG"/>
    </w:rPr>
  </w:style>
  <w:style w:type="character" w:customStyle="1" w:styleId="af">
    <w:name w:val="Текст на коментар Знак"/>
    <w:basedOn w:val="a0"/>
    <w:link w:val="ae"/>
    <w:uiPriority w:val="99"/>
    <w:rsid w:val="007C69FF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0">
    <w:name w:val="Balloon Text"/>
    <w:basedOn w:val="a"/>
    <w:link w:val="af1"/>
    <w:uiPriority w:val="99"/>
    <w:semiHidden/>
    <w:unhideWhenUsed/>
    <w:rsid w:val="007C69FF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7C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ED6C06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c">
    <w:name w:val="No Spacing"/>
    <w:qFormat/>
    <w:rsid w:val="007C69FF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rsid w:val="007C69FF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7C69FF"/>
    <w:pPr>
      <w:widowControl w:val="0"/>
      <w:suppressAutoHyphens/>
    </w:pPr>
    <w:rPr>
      <w:rFonts w:eastAsia="Times New Roman" w:cs="Times New Roman"/>
      <w:noProof/>
      <w:sz w:val="20"/>
      <w:szCs w:val="20"/>
      <w:lang w:eastAsia="bg-BG"/>
    </w:rPr>
  </w:style>
  <w:style w:type="character" w:customStyle="1" w:styleId="af">
    <w:name w:val="Текст на коментар Знак"/>
    <w:basedOn w:val="a0"/>
    <w:link w:val="ae"/>
    <w:uiPriority w:val="99"/>
    <w:rsid w:val="007C69FF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0">
    <w:name w:val="Balloon Text"/>
    <w:basedOn w:val="a"/>
    <w:link w:val="af1"/>
    <w:uiPriority w:val="99"/>
    <w:semiHidden/>
    <w:unhideWhenUsed/>
    <w:rsid w:val="007C69FF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7C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21</cp:revision>
  <cp:lastPrinted>2018-08-24T10:33:00Z</cp:lastPrinted>
  <dcterms:created xsi:type="dcterms:W3CDTF">2018-08-21T12:18:00Z</dcterms:created>
  <dcterms:modified xsi:type="dcterms:W3CDTF">2018-08-27T11:37:00Z</dcterms:modified>
</cp:coreProperties>
</file>