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D37C5" w14:textId="77777777" w:rsidR="008B0D4A" w:rsidRPr="00DB2751" w:rsidRDefault="008B0D4A" w:rsidP="004A5EAC">
      <w:pPr>
        <w:jc w:val="center"/>
        <w:rPr>
          <w:rFonts w:cs="Times New Roman"/>
          <w:b/>
          <w:spacing w:val="40"/>
          <w:szCs w:val="24"/>
          <w:lang w:val="en-US"/>
        </w:rPr>
      </w:pPr>
    </w:p>
    <w:p w14:paraId="02615C35" w14:textId="77777777" w:rsidR="004C3B8D" w:rsidRPr="00DB2751" w:rsidRDefault="004C3B8D" w:rsidP="004A5EAC">
      <w:pPr>
        <w:jc w:val="center"/>
        <w:rPr>
          <w:rFonts w:cs="Times New Roman"/>
          <w:b/>
          <w:spacing w:val="40"/>
          <w:szCs w:val="24"/>
        </w:rPr>
      </w:pPr>
    </w:p>
    <w:p w14:paraId="6C1B1659" w14:textId="77777777" w:rsidR="004C3B8D" w:rsidRPr="00DB2751" w:rsidRDefault="00006479" w:rsidP="004A5EAC">
      <w:pPr>
        <w:jc w:val="center"/>
        <w:rPr>
          <w:rFonts w:cs="Times New Roman"/>
          <w:b/>
          <w:spacing w:val="40"/>
          <w:szCs w:val="24"/>
        </w:rPr>
      </w:pPr>
      <w:r w:rsidRPr="00DB2751">
        <w:rPr>
          <w:rFonts w:cs="Times New Roman"/>
          <w:b/>
          <w:spacing w:val="40"/>
          <w:szCs w:val="24"/>
        </w:rPr>
        <w:t xml:space="preserve">РАЗДЕЛ </w:t>
      </w:r>
      <w:r w:rsidRPr="00DB2751">
        <w:rPr>
          <w:rFonts w:cs="Times New Roman"/>
          <w:b/>
          <w:spacing w:val="40"/>
          <w:szCs w:val="24"/>
          <w:lang w:val="en-US"/>
        </w:rPr>
        <w:t>III</w:t>
      </w:r>
    </w:p>
    <w:p w14:paraId="66353DE8" w14:textId="77777777" w:rsidR="00006479" w:rsidRPr="00DB2751" w:rsidRDefault="00006479" w:rsidP="004A5EAC">
      <w:pPr>
        <w:jc w:val="center"/>
        <w:rPr>
          <w:rFonts w:cs="Times New Roman"/>
          <w:b/>
          <w:spacing w:val="40"/>
          <w:szCs w:val="24"/>
        </w:rPr>
      </w:pPr>
    </w:p>
    <w:p w14:paraId="2394DB81" w14:textId="77777777" w:rsidR="004C3B8D" w:rsidRPr="00DB2751" w:rsidRDefault="004C3B8D" w:rsidP="004A5EAC">
      <w:pPr>
        <w:jc w:val="center"/>
        <w:rPr>
          <w:b/>
        </w:rPr>
      </w:pPr>
      <w:r w:rsidRPr="00DB2751">
        <w:rPr>
          <w:b/>
        </w:rPr>
        <w:t>ОБРАЗЦИ НА ДОКУМЕНТИ И УКАЗАНИЯ ЗА ПОДГОТОВКАTA ИМ</w:t>
      </w:r>
    </w:p>
    <w:p w14:paraId="20B59EC2" w14:textId="77777777" w:rsidR="004C3B8D" w:rsidRPr="00DB2751" w:rsidRDefault="004C3B8D" w:rsidP="004A5EAC">
      <w:pPr>
        <w:jc w:val="center"/>
        <w:rPr>
          <w:b/>
        </w:rPr>
      </w:pPr>
    </w:p>
    <w:p w14:paraId="72984979" w14:textId="77777777" w:rsidR="004C3B8D" w:rsidRPr="00DB2751" w:rsidRDefault="004C3B8D" w:rsidP="004A5EAC">
      <w:pPr>
        <w:jc w:val="center"/>
        <w:rPr>
          <w:b/>
        </w:rPr>
      </w:pPr>
    </w:p>
    <w:p w14:paraId="57478E5B" w14:textId="77777777" w:rsidR="004C3B8D" w:rsidRPr="00DB2751" w:rsidRDefault="004C3B8D" w:rsidP="004A5EAC">
      <w:pPr>
        <w:jc w:val="center"/>
        <w:rPr>
          <w:b/>
        </w:rPr>
      </w:pPr>
    </w:p>
    <w:p w14:paraId="6F2D2C5F" w14:textId="77777777" w:rsidR="004C3B8D" w:rsidRPr="00DB2751" w:rsidRDefault="004C3B8D" w:rsidP="004A5EAC">
      <w:pPr>
        <w:pStyle w:val="aa"/>
        <w:numPr>
          <w:ilvl w:val="0"/>
          <w:numId w:val="4"/>
        </w:numPr>
        <w:spacing w:before="120" w:after="120" w:line="360" w:lineRule="auto"/>
        <w:ind w:left="-357" w:firstLine="737"/>
        <w:outlineLvl w:val="0"/>
        <w:rPr>
          <w:b/>
          <w:szCs w:val="24"/>
        </w:rPr>
      </w:pPr>
      <w:r w:rsidRPr="00DB2751">
        <w:rPr>
          <w:b/>
          <w:szCs w:val="24"/>
        </w:rPr>
        <w:t>Общи указания при подготовка на офертата</w:t>
      </w:r>
    </w:p>
    <w:p w14:paraId="330C2742" w14:textId="77777777" w:rsidR="004C3B8D" w:rsidRPr="00DB2751" w:rsidRDefault="004C3B8D" w:rsidP="004A5EAC">
      <w:pPr>
        <w:ind w:firstLine="590"/>
        <w:jc w:val="both"/>
        <w:rPr>
          <w:szCs w:val="24"/>
        </w:rPr>
      </w:pPr>
      <w:r w:rsidRPr="00DB2751">
        <w:rPr>
          <w:szCs w:val="24"/>
        </w:rPr>
        <w:t>1.1.</w:t>
      </w:r>
      <w:r w:rsidRPr="00DB2751">
        <w:rPr>
          <w:szCs w:val="24"/>
        </w:rPr>
        <w:tab/>
        <w:t>Подготовка на офертата</w:t>
      </w:r>
    </w:p>
    <w:p w14:paraId="744AD46F" w14:textId="77777777" w:rsidR="00B61A40" w:rsidRPr="00DB2751" w:rsidRDefault="00B61A40" w:rsidP="004A5EAC">
      <w:pPr>
        <w:ind w:firstLine="567"/>
        <w:jc w:val="both"/>
        <w:rPr>
          <w:szCs w:val="24"/>
        </w:rPr>
      </w:pPr>
      <w:r w:rsidRPr="00DB2751">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14:paraId="75C48EC5" w14:textId="77777777" w:rsidR="00B61A40" w:rsidRPr="00DB2751" w:rsidRDefault="00B61A40" w:rsidP="004A5EAC">
      <w:pPr>
        <w:ind w:firstLine="567"/>
        <w:jc w:val="both"/>
        <w:rPr>
          <w:szCs w:val="24"/>
        </w:rPr>
      </w:pPr>
      <w:r w:rsidRPr="00DB2751">
        <w:rPr>
          <w:szCs w:val="24"/>
        </w:rPr>
        <w:t xml:space="preserve">Представянето на оферта ще се счита за съгласие на Участника с всички изисквания и условия, посочени в документацията за участие, </w:t>
      </w:r>
      <w:r w:rsidR="00006479" w:rsidRPr="00DB2751">
        <w:rPr>
          <w:szCs w:val="24"/>
        </w:rPr>
        <w:t>в т.ч. с определения от него срок на валидност на офертите и с проекта на договор и при спазване на прило</w:t>
      </w:r>
      <w:r w:rsidRPr="00DB2751">
        <w:rPr>
          <w:szCs w:val="24"/>
        </w:rPr>
        <w:t>жимите разпоредби на ЗОП и ППЗОП.</w:t>
      </w:r>
    </w:p>
    <w:p w14:paraId="10A623DD" w14:textId="77777777" w:rsidR="00B61A40" w:rsidRPr="00DB2751" w:rsidRDefault="00B61A40" w:rsidP="004A5EAC">
      <w:pPr>
        <w:ind w:firstLine="567"/>
        <w:jc w:val="both"/>
        <w:rPr>
          <w:szCs w:val="24"/>
        </w:rPr>
      </w:pPr>
      <w:r w:rsidRPr="00DB2751">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14:paraId="50BA9858" w14:textId="77777777" w:rsidR="00B61A40" w:rsidRPr="00DB2751" w:rsidRDefault="00B61A40" w:rsidP="004A5EAC">
      <w:pPr>
        <w:ind w:firstLine="567"/>
        <w:jc w:val="both"/>
        <w:rPr>
          <w:szCs w:val="24"/>
        </w:rPr>
      </w:pPr>
      <w:r w:rsidRPr="00DB2751">
        <w:rPr>
          <w:szCs w:val="24"/>
        </w:rPr>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14:paraId="2173579D" w14:textId="77777777" w:rsidR="00006479" w:rsidRPr="00DB2751" w:rsidRDefault="00006479" w:rsidP="004A5EAC">
      <w:pPr>
        <w:widowControl w:val="0"/>
        <w:suppressAutoHyphens/>
        <w:ind w:firstLine="567"/>
        <w:jc w:val="both"/>
        <w:rPr>
          <w:rFonts w:eastAsia="Times New Roman" w:cs="Times New Roman"/>
          <w:szCs w:val="24"/>
          <w:lang w:eastAsia="bg-BG"/>
        </w:rPr>
      </w:pPr>
      <w:r w:rsidRPr="00DB2751">
        <w:rPr>
          <w:rFonts w:eastAsia="Times New Roman" w:cs="Times New Roman"/>
          <w:szCs w:val="24"/>
          <w:lang w:eastAsia="bg-BG"/>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14:paraId="60F4EE3C" w14:textId="77777777" w:rsidR="00006479" w:rsidRPr="00DB2751" w:rsidRDefault="00006479" w:rsidP="004A5EAC">
      <w:pPr>
        <w:widowControl w:val="0"/>
        <w:suppressAutoHyphens/>
        <w:ind w:firstLine="567"/>
        <w:jc w:val="both"/>
        <w:rPr>
          <w:szCs w:val="24"/>
        </w:rPr>
      </w:pPr>
      <w:r w:rsidRPr="00DB2751">
        <w:rPr>
          <w:rFonts w:eastAsia="Times New Roman" w:cs="Times New Roman"/>
          <w:szCs w:val="24"/>
          <w:lang w:eastAsia="bg-BG"/>
        </w:rPr>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14:paraId="2F646996" w14:textId="77777777" w:rsidR="00B61A40" w:rsidRPr="00DB2751" w:rsidRDefault="00B61A40" w:rsidP="004A5EAC">
      <w:pPr>
        <w:ind w:firstLine="567"/>
        <w:jc w:val="both"/>
        <w:rPr>
          <w:szCs w:val="24"/>
        </w:rPr>
      </w:pPr>
      <w:r w:rsidRPr="00DB2751">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r w:rsidR="00240615" w:rsidRPr="00DB2751">
        <w:rPr>
          <w:szCs w:val="24"/>
        </w:rPr>
        <w:t>;</w:t>
      </w:r>
    </w:p>
    <w:p w14:paraId="3A3367A6" w14:textId="77777777" w:rsidR="00B61A40" w:rsidRPr="00DB2751" w:rsidRDefault="00240615" w:rsidP="004A5EAC">
      <w:pPr>
        <w:ind w:firstLine="567"/>
        <w:jc w:val="both"/>
        <w:rPr>
          <w:szCs w:val="24"/>
        </w:rPr>
      </w:pPr>
      <w:r w:rsidRPr="00DB2751">
        <w:rPr>
          <w:szCs w:val="24"/>
        </w:rPr>
        <w:t xml:space="preserve">3. </w:t>
      </w:r>
      <w:r w:rsidR="00B61A40" w:rsidRPr="00DB2751">
        <w:rPr>
          <w:szCs w:val="24"/>
        </w:rPr>
        <w:t>гарантират, че всички членове на обединението са отговорни заедно и поотделно за изпълнението на договора;</w:t>
      </w:r>
    </w:p>
    <w:p w14:paraId="611C2212" w14:textId="77777777" w:rsidR="00B61A40" w:rsidRPr="00DB2751" w:rsidRDefault="00B61A40" w:rsidP="004A5EAC">
      <w:pPr>
        <w:ind w:firstLine="567"/>
        <w:jc w:val="both"/>
        <w:rPr>
          <w:szCs w:val="24"/>
        </w:rPr>
      </w:pPr>
      <w:r w:rsidRPr="00DB2751">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F53F36B" w14:textId="77777777" w:rsidR="00B61A40" w:rsidRPr="00DB2751" w:rsidRDefault="00B61A40" w:rsidP="004A5EAC">
      <w:pPr>
        <w:ind w:firstLine="567"/>
        <w:jc w:val="both"/>
        <w:rPr>
          <w:szCs w:val="24"/>
        </w:rPr>
      </w:pPr>
      <w:r w:rsidRPr="00DB2751">
        <w:rPr>
          <w:szCs w:val="24"/>
        </w:rPr>
        <w:t>До изтичане на срока за подаване на офертите всеки Участник може да промени, допълни или оттегли офертата си.</w:t>
      </w:r>
    </w:p>
    <w:p w14:paraId="22AE1269" w14:textId="77777777" w:rsidR="00006479" w:rsidRPr="00DB2751" w:rsidRDefault="00006479" w:rsidP="004A5EAC">
      <w:pPr>
        <w:ind w:firstLine="567"/>
        <w:jc w:val="both"/>
        <w:rPr>
          <w:szCs w:val="24"/>
        </w:rPr>
      </w:pPr>
      <w:r w:rsidRPr="00DB2751">
        <w:rPr>
          <w:szCs w:val="24"/>
        </w:rPr>
        <w:lastRenderedPageBreak/>
        <w:t>Участникът ще бъде отстранен от участие в обществената поръчка, когато са налице обстоятелствата по чл.54, ал.1 от ЗОП, освен в случаите по чл.54, ал.5 или при условията на чл.56 от ЗОП. За участника не трябва да са налице обстоятелствата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 и по чл.69 от Закона за противодействие на корупцията и за отнемане на незаконно придобитото имущество (ЗПКОНПИ).</w:t>
      </w:r>
    </w:p>
    <w:p w14:paraId="0B050503" w14:textId="77777777" w:rsidR="00B61A40" w:rsidRPr="00DB2751" w:rsidRDefault="00B61A40" w:rsidP="004A5EAC">
      <w:pPr>
        <w:ind w:firstLine="567"/>
        <w:jc w:val="both"/>
        <w:rPr>
          <w:szCs w:val="24"/>
        </w:rPr>
      </w:pPr>
      <w:r w:rsidRPr="00DB2751">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14:paraId="5A9E06C6" w14:textId="77777777" w:rsidR="00B61A40" w:rsidRPr="00DB2751" w:rsidRDefault="00B61A40" w:rsidP="004A5EAC">
      <w:pPr>
        <w:ind w:firstLine="567"/>
        <w:jc w:val="both"/>
        <w:textAlignment w:val="center"/>
        <w:rPr>
          <w:rStyle w:val="FontStyle31"/>
        </w:rPr>
      </w:pPr>
      <w:r w:rsidRPr="00DB2751">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w:t>
      </w:r>
      <w:r w:rsidRPr="00DB2751">
        <w:rPr>
          <w:szCs w:val="24"/>
        </w:rPr>
        <w:t>Във връзка с разпоредбата на чл.</w:t>
      </w:r>
      <w:r w:rsidR="001F746A" w:rsidRPr="00DB2751">
        <w:rPr>
          <w:szCs w:val="24"/>
          <w:lang w:val="ru-RU"/>
        </w:rPr>
        <w:t xml:space="preserve"> </w:t>
      </w:r>
      <w:r w:rsidRPr="00DB2751">
        <w:rPr>
          <w:szCs w:val="24"/>
        </w:rPr>
        <w:t>47, ал.</w:t>
      </w:r>
      <w:r w:rsidR="001F746A" w:rsidRPr="00DB2751">
        <w:rPr>
          <w:szCs w:val="24"/>
          <w:lang w:val="ru-RU"/>
        </w:rPr>
        <w:t xml:space="preserve"> </w:t>
      </w:r>
      <w:r w:rsidRPr="00DB2751">
        <w:rPr>
          <w:szCs w:val="24"/>
        </w:rPr>
        <w:t>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DB2751">
        <w:rPr>
          <w:rStyle w:val="a7"/>
          <w:color w:val="auto"/>
        </w:rPr>
        <w:t>http://www.minfin.bg/</w:t>
      </w:r>
      <w:r w:rsidRPr="00DB2751">
        <w:rPr>
          <w:szCs w:val="24"/>
        </w:rPr>
        <w:t>). Национална агенция за приходите (</w:t>
      </w:r>
      <w:hyperlink r:id="rId8" w:history="1">
        <w:r w:rsidRPr="00DB2751">
          <w:rPr>
            <w:rStyle w:val="a7"/>
            <w:color w:val="auto"/>
            <w:szCs w:val="24"/>
          </w:rPr>
          <w:t>http://www.nap.bg/</w:t>
        </w:r>
      </w:hyperlink>
      <w:r w:rsidRPr="00DB2751">
        <w:rPr>
          <w:szCs w:val="24"/>
        </w:rPr>
        <w:t>); Относно закрила на заетостта и условията на труд: министерство на труда и социалната политика (</w:t>
      </w:r>
      <w:r w:rsidRPr="00DB2751">
        <w:rPr>
          <w:szCs w:val="24"/>
          <w:u w:val="single"/>
        </w:rPr>
        <w:t>https://www.mlsp.government.bg/</w:t>
      </w:r>
      <w:r w:rsidRPr="00DB2751">
        <w:rPr>
          <w:szCs w:val="24"/>
        </w:rPr>
        <w:t>), Агенция по заетостта (</w:t>
      </w:r>
      <w:r w:rsidRPr="00DB2751">
        <w:rPr>
          <w:szCs w:val="24"/>
          <w:u w:val="single"/>
        </w:rPr>
        <w:t>http://www.az.government.bg/</w:t>
      </w:r>
      <w:r w:rsidRPr="00DB2751">
        <w:rPr>
          <w:szCs w:val="24"/>
        </w:rPr>
        <w:t>), Главна инспекция по труда (</w:t>
      </w:r>
      <w:hyperlink r:id="rId9" w:history="1">
        <w:r w:rsidRPr="00DB2751">
          <w:rPr>
            <w:rStyle w:val="a7"/>
            <w:color w:val="auto"/>
            <w:szCs w:val="24"/>
          </w:rPr>
          <w:t>http://www.gli.government.bg/)</w:t>
        </w:r>
      </w:hyperlink>
      <w:r w:rsidRPr="00DB2751">
        <w:rPr>
          <w:szCs w:val="24"/>
        </w:rPr>
        <w:t>, Относно опазване на околната среда: Министерство на околната среда и водите (</w:t>
      </w:r>
      <w:hyperlink r:id="rId10" w:history="1">
        <w:r w:rsidRPr="00DB2751">
          <w:rPr>
            <w:rStyle w:val="a7"/>
            <w:color w:val="auto"/>
            <w:szCs w:val="24"/>
          </w:rPr>
          <w:t>http://www.moew.government.bg/</w:t>
        </w:r>
      </w:hyperlink>
      <w:r w:rsidRPr="00DB2751">
        <w:rPr>
          <w:szCs w:val="24"/>
        </w:rPr>
        <w:t xml:space="preserve"> )</w:t>
      </w:r>
      <w:r w:rsidR="00006479" w:rsidRPr="00DB2751">
        <w:rPr>
          <w:szCs w:val="24"/>
        </w:rPr>
        <w:t>.</w:t>
      </w:r>
      <w:r w:rsidRPr="00DB2751">
        <w:rPr>
          <w:szCs w:val="24"/>
        </w:rPr>
        <w:t xml:space="preserve"> </w:t>
      </w:r>
    </w:p>
    <w:p w14:paraId="7B76CD17" w14:textId="4CF7C79F" w:rsidR="004C3B8D" w:rsidRPr="00DB2751" w:rsidRDefault="004C3B8D" w:rsidP="004A5EAC">
      <w:pPr>
        <w:spacing w:before="120"/>
        <w:ind w:firstLine="590"/>
        <w:jc w:val="both"/>
        <w:rPr>
          <w:szCs w:val="24"/>
        </w:rPr>
      </w:pPr>
      <w:r w:rsidRPr="00DB2751">
        <w:rPr>
          <w:szCs w:val="24"/>
        </w:rPr>
        <w:t>1. 2.</w:t>
      </w:r>
      <w:r w:rsidRPr="00DB2751">
        <w:rPr>
          <w:szCs w:val="24"/>
        </w:rPr>
        <w:tab/>
        <w:t>Съдържание на офертата</w:t>
      </w:r>
      <w:r w:rsidR="000C5956">
        <w:rPr>
          <w:szCs w:val="24"/>
        </w:rPr>
        <w:t xml:space="preserve"> за всяка обособена позиция</w:t>
      </w:r>
    </w:p>
    <w:p w14:paraId="17A6F287" w14:textId="77777777" w:rsidR="00B61A40" w:rsidRPr="00DB2751" w:rsidRDefault="004C3B8D" w:rsidP="004A5EAC">
      <w:pPr>
        <w:pStyle w:val="Default"/>
        <w:ind w:firstLine="567"/>
        <w:jc w:val="both"/>
        <w:rPr>
          <w:color w:val="auto"/>
        </w:rPr>
      </w:pPr>
      <w:r w:rsidRPr="00DB2751">
        <w:rPr>
          <w:color w:val="auto"/>
        </w:rPr>
        <w:t>1.2.1.</w:t>
      </w:r>
      <w:r w:rsidRPr="00DB2751">
        <w:rPr>
          <w:color w:val="auto"/>
        </w:rPr>
        <w:tab/>
      </w:r>
      <w:r w:rsidR="00006479" w:rsidRPr="00DB2751">
        <w:rPr>
          <w:color w:val="auto"/>
          <w:lang w:val="ru-RU"/>
        </w:rPr>
        <w:t>ДЕКЛАРАЦИЯ по чл.192, ал.3 от ЗОП</w:t>
      </w:r>
      <w:r w:rsidR="00B61A40" w:rsidRPr="00DB2751">
        <w:rPr>
          <w:color w:val="auto"/>
        </w:rPr>
        <w:t xml:space="preserve"> </w:t>
      </w:r>
    </w:p>
    <w:p w14:paraId="7AB2F297" w14:textId="77777777" w:rsidR="00006479" w:rsidRPr="00006479" w:rsidRDefault="00006479" w:rsidP="004A5EAC">
      <w:pPr>
        <w:autoSpaceDE w:val="0"/>
        <w:autoSpaceDN w:val="0"/>
        <w:adjustRightInd w:val="0"/>
        <w:ind w:firstLine="567"/>
        <w:jc w:val="both"/>
        <w:rPr>
          <w:rFonts w:eastAsia="Times New Roman" w:cs="Times New Roman"/>
          <w:szCs w:val="24"/>
          <w:lang w:eastAsia="bg-BG"/>
        </w:rPr>
      </w:pPr>
      <w:r w:rsidRPr="00006479">
        <w:rPr>
          <w:rFonts w:eastAsia="Times New Roman" w:cs="Times New Roman"/>
          <w:szCs w:val="24"/>
          <w:lang w:eastAsia="bg-BG"/>
        </w:rPr>
        <w:t>Към офертата участниците подават Декларация по чл. 192, ал.3 от ЗОП, образец на възложителя за липсата на основанията за отстраняване и съответствие с критериите за подбор (файл: III.Образец 1ДЕКЛАРАЦИЯ по чл.192, ал.3 от ЗОП.doc). Декларацията се представя на хартиен носител, попълнена, подписана и представена в съответствие с изискванията на ЗОП, ППЗОП и условията на възложителя. 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14:paraId="3E118AFC" w14:textId="77777777" w:rsidR="004A5EAC" w:rsidRPr="003854A1" w:rsidRDefault="004A5EAC" w:rsidP="004A5EAC">
      <w:pPr>
        <w:pStyle w:val="Default"/>
        <w:ind w:firstLine="567"/>
        <w:jc w:val="both"/>
      </w:pPr>
      <w:r w:rsidRPr="003854A1">
        <w:rPr>
          <w:rFonts w:eastAsia="Calibri"/>
          <w:lang w:eastAsia="en-US"/>
        </w:rPr>
        <w:t>Възложителят отстранява участник, за когото е налице някое от обстоятелствата по чл.54, ал.1. Основанията по чл.54, ал.1, т.1, 2 и 7 се отнасят за лицата, които представляват участника.</w:t>
      </w:r>
      <w:r w:rsidRPr="00A72A36">
        <w:rPr>
          <w:rFonts w:eastAsia="Calibri"/>
          <w:lang w:val="ru-RU" w:eastAsia="en-US"/>
        </w:rPr>
        <w:t xml:space="preserve"> </w:t>
      </w:r>
      <w:r w:rsidRPr="003854A1">
        <w:rPr>
          <w:rFonts w:eastAsia="Calibri"/>
          <w:lang w:eastAsia="en-US"/>
        </w:rPr>
        <w:t xml:space="preserve">Когато участникът се представлява от повече от едно лице, декларацията за обстоятелствата по чл.54, ал.1, т.3 - 6 се подписва от лицето, което може самостоятелно да го представлява. </w:t>
      </w:r>
      <w:r w:rsidRPr="003854A1">
        <w:t>Към декларацията по чл.192, ал.3 от ЗОП (Образец № 1) се прилагат документи за доказване на предприетите мерки за надеждност, в случай че 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14:paraId="420DB067" w14:textId="77777777" w:rsidR="004A5EAC" w:rsidRPr="00DB2751" w:rsidRDefault="004A5EAC" w:rsidP="004A5EAC">
      <w:pPr>
        <w:widowControl w:val="0"/>
        <w:suppressAutoHyphens/>
        <w:ind w:firstLine="567"/>
        <w:jc w:val="both"/>
        <w:textAlignment w:val="center"/>
        <w:rPr>
          <w:rFonts w:eastAsia="Times New Roman" w:cs="Times New Roman"/>
          <w:szCs w:val="24"/>
          <w:lang w:eastAsia="bg-BG"/>
        </w:rPr>
      </w:pPr>
      <w:r w:rsidRPr="004A5EAC">
        <w:rPr>
          <w:rFonts w:eastAsia="Times New Roman" w:cs="Times New Roman"/>
          <w:color w:val="000000"/>
          <w:szCs w:val="24"/>
          <w:lang w:eastAsia="bg-BG"/>
        </w:rPr>
        <w:t xml:space="preserve">Когато Участникът е обединение, което не е юридическо лице, декларацията по чл.192, ал.3 от ЗОП се подава от всеки от участниците в обединението. При необходимост от деклариране на обстоятелства, относими към обединението, декларацията по чл.192, ал.3 от ЗОП се подава и за обединението. </w:t>
      </w:r>
      <w:r w:rsidRPr="004A5EAC">
        <w:rPr>
          <w:rFonts w:eastAsia="Times New Roman" w:cs="Times New Roman"/>
          <w:szCs w:val="24"/>
          <w:lang w:eastAsia="bg-BG"/>
        </w:rPr>
        <w:t xml:space="preserve">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w:t>
      </w:r>
      <w:r w:rsidRPr="004A5EAC">
        <w:rPr>
          <w:rFonts w:eastAsia="Times New Roman" w:cs="Times New Roman"/>
          <w:szCs w:val="24"/>
          <w:lang w:eastAsia="bg-BG"/>
        </w:rPr>
        <w:lastRenderedPageBreak/>
        <w:t xml:space="preserve">партньор, който ще представлява обединението за целите на настоящата обществена </w:t>
      </w:r>
      <w:r w:rsidRPr="00DB2751">
        <w:rPr>
          <w:rFonts w:eastAsia="Times New Roman" w:cs="Times New Roman"/>
          <w:szCs w:val="24"/>
          <w:lang w:eastAsia="bg-BG"/>
        </w:rPr>
        <w:t>поръчка.</w:t>
      </w:r>
    </w:p>
    <w:p w14:paraId="6BC62E78" w14:textId="77777777" w:rsidR="004C3B8D" w:rsidRPr="00DB2751" w:rsidRDefault="004C3B8D" w:rsidP="004C3B8D">
      <w:pPr>
        <w:pStyle w:val="aa"/>
        <w:ind w:left="0"/>
        <w:contextualSpacing w:val="0"/>
        <w:jc w:val="both"/>
        <w:outlineLvl w:val="0"/>
        <w:rPr>
          <w:szCs w:val="24"/>
        </w:rPr>
      </w:pPr>
    </w:p>
    <w:p w14:paraId="2CF1A7FB" w14:textId="77777777" w:rsidR="00B61A40" w:rsidRPr="00DB2751" w:rsidRDefault="00B61A40" w:rsidP="00B61A40">
      <w:pPr>
        <w:tabs>
          <w:tab w:val="left" w:pos="567"/>
          <w:tab w:val="left" w:pos="851"/>
          <w:tab w:val="left" w:pos="1134"/>
        </w:tabs>
        <w:ind w:firstLine="567"/>
        <w:jc w:val="both"/>
        <w:rPr>
          <w:rFonts w:eastAsia="Times New Roman" w:cs="Times New Roman"/>
          <w:szCs w:val="24"/>
          <w:lang w:eastAsia="bg-BG"/>
        </w:rPr>
      </w:pPr>
      <w:r w:rsidRPr="00DB2751">
        <w:rPr>
          <w:szCs w:val="24"/>
          <w:lang w:val="ru-RU"/>
        </w:rPr>
        <w:t xml:space="preserve">  </w:t>
      </w:r>
      <w:r w:rsidR="004C3B8D" w:rsidRPr="00DB2751">
        <w:rPr>
          <w:szCs w:val="24"/>
        </w:rPr>
        <w:t>1.2.2. Техническо предложение</w:t>
      </w:r>
      <w:r w:rsidRPr="00DB2751">
        <w:rPr>
          <w:szCs w:val="24"/>
          <w:lang w:val="ru-RU"/>
        </w:rPr>
        <w:t xml:space="preserve"> -</w:t>
      </w:r>
      <w:r w:rsidRPr="00DB2751">
        <w:rPr>
          <w:rFonts w:eastAsia="Times New Roman" w:cs="Times New Roman"/>
          <w:szCs w:val="24"/>
          <w:lang w:eastAsia="bg-BG"/>
        </w:rPr>
        <w:t xml:space="preserve"> представя се за всяка обособена позиция, за която се участва със следното съдържание:</w:t>
      </w:r>
    </w:p>
    <w:p w14:paraId="4DC621B9" w14:textId="77777777" w:rsidR="00B61A40" w:rsidRPr="00DB2751" w:rsidRDefault="00B61A40" w:rsidP="00B61A40">
      <w:pPr>
        <w:widowControl w:val="0"/>
        <w:tabs>
          <w:tab w:val="left" w:pos="567"/>
          <w:tab w:val="left" w:pos="851"/>
          <w:tab w:val="left" w:pos="1134"/>
        </w:tabs>
        <w:suppressAutoHyphens/>
        <w:ind w:firstLine="567"/>
        <w:jc w:val="both"/>
        <w:rPr>
          <w:rFonts w:eastAsia="Times New Roman" w:cs="Times New Roman"/>
          <w:szCs w:val="24"/>
          <w:lang w:eastAsia="bg-BG"/>
        </w:rPr>
      </w:pPr>
      <w:r w:rsidRPr="00DB2751">
        <w:rPr>
          <w:rFonts w:eastAsia="Times New Roman" w:cs="Times New Roman"/>
          <w:szCs w:val="24"/>
          <w:lang w:val="ru-RU" w:eastAsia="bg-BG"/>
        </w:rPr>
        <w:t xml:space="preserve">  </w:t>
      </w:r>
      <w:r w:rsidRPr="00DB2751">
        <w:rPr>
          <w:rFonts w:eastAsia="Times New Roman" w:cs="Times New Roman"/>
          <w:szCs w:val="24"/>
          <w:lang w:eastAsia="bg-BG"/>
        </w:rPr>
        <w:t>А) Документ за упълномощаване, когато лицето, което подава офертата, не е законният представител на Участника - по образец на Участника;</w:t>
      </w:r>
    </w:p>
    <w:p w14:paraId="4508925E" w14:textId="77777777" w:rsidR="004C3B8D" w:rsidRPr="00DB2751" w:rsidRDefault="00B61A40" w:rsidP="00B61A40">
      <w:pPr>
        <w:ind w:left="118" w:firstLine="590"/>
        <w:jc w:val="both"/>
        <w:rPr>
          <w:szCs w:val="24"/>
        </w:rPr>
      </w:pPr>
      <w:r w:rsidRPr="00DB2751">
        <w:rPr>
          <w:rFonts w:eastAsia="Times New Roman" w:cs="Times New Roman"/>
          <w:szCs w:val="24"/>
          <w:lang w:eastAsia="bg-BG"/>
        </w:rPr>
        <w:t>Б) Предложение за изпълнение на поръчката попълнено в съответствие с техническата спецификация и изискванията на Възложителя - Образец № 2</w:t>
      </w:r>
    </w:p>
    <w:p w14:paraId="74E40A05" w14:textId="2B7D7FEA" w:rsidR="004C3B8D" w:rsidRPr="00DB2751" w:rsidRDefault="004C3B8D" w:rsidP="004C3B8D">
      <w:pPr>
        <w:ind w:left="118" w:firstLine="590"/>
        <w:jc w:val="both"/>
        <w:rPr>
          <w:szCs w:val="24"/>
        </w:rPr>
      </w:pPr>
      <w:r w:rsidRPr="00DB2751">
        <w:rPr>
          <w:szCs w:val="24"/>
        </w:rPr>
        <w:t>1.2.3. Ценово предложение - Образец № 3, съдържащо предложението на участника относно цената за изпълнение на услуга</w:t>
      </w:r>
      <w:r w:rsidR="00A72A36" w:rsidRPr="00DB2751">
        <w:rPr>
          <w:szCs w:val="24"/>
        </w:rPr>
        <w:t>та. Към документацията са подготвени образци за всяка обособена позиция.</w:t>
      </w:r>
    </w:p>
    <w:p w14:paraId="37593576" w14:textId="77777777" w:rsidR="00A72A36" w:rsidRPr="000A505C" w:rsidRDefault="00A72A36" w:rsidP="00A72A36">
      <w:pPr>
        <w:tabs>
          <w:tab w:val="left" w:pos="567"/>
          <w:tab w:val="left" w:pos="851"/>
          <w:tab w:val="left" w:pos="1134"/>
        </w:tabs>
        <w:spacing w:before="120" w:after="120"/>
        <w:ind w:firstLine="567"/>
        <w:jc w:val="both"/>
        <w:rPr>
          <w:color w:val="000000"/>
          <w:szCs w:val="24"/>
        </w:rPr>
      </w:pPr>
      <w:r w:rsidRPr="00DB2751">
        <w:rPr>
          <w:szCs w:val="24"/>
        </w:rPr>
        <w:t xml:space="preserve">При отваряне на офертите, комисията ще </w:t>
      </w:r>
      <w:r w:rsidRPr="003854A1">
        <w:rPr>
          <w:color w:val="000000"/>
          <w:szCs w:val="24"/>
        </w:rPr>
        <w:t xml:space="preserve">оповести ценовото предложение на всеки участник. Ценовото предложение се прилага към останалите документи и не се </w:t>
      </w:r>
      <w:r w:rsidRPr="000A505C">
        <w:rPr>
          <w:color w:val="000000"/>
          <w:szCs w:val="24"/>
        </w:rPr>
        <w:t xml:space="preserve">поставя в отделна опаковка/плик. </w:t>
      </w:r>
    </w:p>
    <w:p w14:paraId="18D15D44" w14:textId="50138804" w:rsidR="00A72A36" w:rsidRPr="000A505C" w:rsidRDefault="00DB2751" w:rsidP="00DB2751">
      <w:pPr>
        <w:ind w:left="118" w:firstLine="449"/>
        <w:jc w:val="both"/>
        <w:rPr>
          <w:szCs w:val="24"/>
        </w:rPr>
      </w:pPr>
      <w:r w:rsidRPr="000A505C">
        <w:rPr>
          <w:szCs w:val="24"/>
        </w:rPr>
        <w:t xml:space="preserve">За всяка обособена позиция, за която се кандидатства се представят окомплектовани Декларация, </w:t>
      </w:r>
      <w:r w:rsidR="00A72A36" w:rsidRPr="000A505C">
        <w:rPr>
          <w:szCs w:val="24"/>
        </w:rPr>
        <w:t>Предложение за изпълнение на поръчката и Ценово предложение</w:t>
      </w:r>
      <w:r w:rsidRPr="000A505C">
        <w:rPr>
          <w:szCs w:val="24"/>
        </w:rPr>
        <w:t>.</w:t>
      </w:r>
    </w:p>
    <w:p w14:paraId="163CFEDD" w14:textId="77777777" w:rsidR="00A72A36" w:rsidRPr="000A505C" w:rsidRDefault="00A72A36" w:rsidP="004C3B8D">
      <w:pPr>
        <w:ind w:left="118" w:firstLine="590"/>
        <w:jc w:val="both"/>
        <w:rPr>
          <w:color w:val="FF0000"/>
          <w:szCs w:val="24"/>
        </w:rPr>
      </w:pPr>
    </w:p>
    <w:p w14:paraId="6B6154E7" w14:textId="7E0EBB86" w:rsidR="004C3B8D" w:rsidRPr="000A505C" w:rsidRDefault="004C3B8D" w:rsidP="004C3B8D">
      <w:pPr>
        <w:ind w:left="118" w:firstLine="590"/>
        <w:jc w:val="both"/>
        <w:rPr>
          <w:szCs w:val="24"/>
        </w:rPr>
      </w:pPr>
      <w:r w:rsidRPr="000A505C">
        <w:rPr>
          <w:szCs w:val="24"/>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14:paraId="6340D102" w14:textId="77777777" w:rsidR="004C3B8D" w:rsidRPr="00DB2751" w:rsidRDefault="004C3B8D" w:rsidP="004C3B8D">
      <w:pPr>
        <w:ind w:left="118" w:firstLine="590"/>
        <w:jc w:val="both"/>
        <w:rPr>
          <w:szCs w:val="24"/>
          <w:lang w:val="ru-RU"/>
        </w:rPr>
      </w:pPr>
      <w:r w:rsidRPr="000A505C">
        <w:rPr>
          <w:szCs w:val="24"/>
        </w:rPr>
        <w:t>При несъответствие между цифровата и изписаната</w:t>
      </w:r>
      <w:r w:rsidRPr="00DB2751">
        <w:rPr>
          <w:szCs w:val="24"/>
        </w:rPr>
        <w:t xml:space="preserve"> с думи цена ще се приема за вярна изписаната с думи.</w:t>
      </w:r>
    </w:p>
    <w:p w14:paraId="489F1A16" w14:textId="77777777" w:rsidR="004C3B8D" w:rsidRPr="00DB2751" w:rsidRDefault="007E446A" w:rsidP="004C3B8D">
      <w:pPr>
        <w:widowControl w:val="0"/>
        <w:numPr>
          <w:ilvl w:val="1"/>
          <w:numId w:val="4"/>
        </w:numPr>
        <w:suppressAutoHyphens/>
        <w:spacing w:before="120"/>
        <w:jc w:val="both"/>
        <w:rPr>
          <w:szCs w:val="24"/>
        </w:rPr>
      </w:pPr>
      <w:r w:rsidRPr="00DB2751">
        <w:rPr>
          <w:szCs w:val="24"/>
          <w:lang w:val="ru-RU"/>
        </w:rPr>
        <w:t xml:space="preserve"> </w:t>
      </w:r>
      <w:r w:rsidR="004C3B8D" w:rsidRPr="00DB2751">
        <w:rPr>
          <w:szCs w:val="24"/>
        </w:rPr>
        <w:t>Запечатване и подаване на документите, свързани с участието в процедурата</w:t>
      </w:r>
    </w:p>
    <w:p w14:paraId="1AB88819" w14:textId="77FE4210" w:rsidR="00B61A40" w:rsidRPr="00DB2751" w:rsidRDefault="00B61A40" w:rsidP="004C3B8D">
      <w:pPr>
        <w:ind w:left="118" w:firstLine="590"/>
        <w:jc w:val="both"/>
        <w:rPr>
          <w:szCs w:val="24"/>
        </w:rPr>
      </w:pPr>
      <w:r w:rsidRPr="00DB2751">
        <w:rPr>
          <w:szCs w:val="24"/>
        </w:rPr>
        <w:t>Документите, свързани с участието в процедурата, се подават на хартиен носител</w:t>
      </w:r>
      <w:r w:rsidR="00DB2751" w:rsidRPr="00DB2751">
        <w:rPr>
          <w:szCs w:val="24"/>
        </w:rPr>
        <w:t>.</w:t>
      </w:r>
      <w:r w:rsidRPr="00DB2751">
        <w:rPr>
          <w:szCs w:val="24"/>
        </w:rPr>
        <w:t xml:space="preserve">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14:paraId="3449F336" w14:textId="77777777" w:rsidR="004C3B8D" w:rsidRPr="00DB2751" w:rsidRDefault="004C3B8D" w:rsidP="004C3B8D">
      <w:pPr>
        <w:ind w:left="118" w:firstLine="590"/>
        <w:jc w:val="both"/>
        <w:rPr>
          <w:szCs w:val="24"/>
        </w:rPr>
      </w:pPr>
      <w:r w:rsidRPr="00DB2751">
        <w:rPr>
          <w:szCs w:val="24"/>
        </w:rPr>
        <w:t xml:space="preserve">Документите се представят в запечатана непрозрачна опаковка, върху която се посочват: </w:t>
      </w:r>
    </w:p>
    <w:p w14:paraId="14042713" w14:textId="77777777" w:rsidR="004C3B8D" w:rsidRPr="00DB2751" w:rsidRDefault="004C3B8D" w:rsidP="004C3B8D">
      <w:pPr>
        <w:widowControl w:val="0"/>
        <w:numPr>
          <w:ilvl w:val="0"/>
          <w:numId w:val="5"/>
        </w:numPr>
        <w:suppressAutoHyphens/>
        <w:jc w:val="both"/>
        <w:rPr>
          <w:szCs w:val="24"/>
        </w:rPr>
      </w:pPr>
      <w:r w:rsidRPr="00DB2751">
        <w:rPr>
          <w:szCs w:val="24"/>
        </w:rPr>
        <w:t xml:space="preserve">наименованието на участника, включително участниците в обединението, когато е приложимо; </w:t>
      </w:r>
    </w:p>
    <w:p w14:paraId="7E5BD02D" w14:textId="1EDA3A56" w:rsidR="004C3B8D" w:rsidRPr="00DB2751" w:rsidRDefault="004C3B8D" w:rsidP="004C3B8D">
      <w:pPr>
        <w:widowControl w:val="0"/>
        <w:numPr>
          <w:ilvl w:val="0"/>
          <w:numId w:val="5"/>
        </w:numPr>
        <w:suppressAutoHyphens/>
        <w:jc w:val="both"/>
        <w:rPr>
          <w:szCs w:val="24"/>
        </w:rPr>
      </w:pPr>
      <w:r w:rsidRPr="00DB2751">
        <w:rPr>
          <w:szCs w:val="24"/>
        </w:rPr>
        <w:t>адрес за кореспонденция, телефон</w:t>
      </w:r>
      <w:r w:rsidR="00A72A36" w:rsidRPr="00DB2751">
        <w:rPr>
          <w:szCs w:val="24"/>
          <w:lang w:val="ru-RU"/>
        </w:rPr>
        <w:t xml:space="preserve">, </w:t>
      </w:r>
      <w:r w:rsidR="00A72A36" w:rsidRPr="00DB2751">
        <w:rPr>
          <w:szCs w:val="24"/>
        </w:rPr>
        <w:t xml:space="preserve">електронен адрес </w:t>
      </w:r>
      <w:r w:rsidRPr="00DB2751">
        <w:rPr>
          <w:szCs w:val="24"/>
        </w:rPr>
        <w:t>и по възможност – факс</w:t>
      </w:r>
      <w:r w:rsidR="00A72A36" w:rsidRPr="00DB2751">
        <w:rPr>
          <w:szCs w:val="24"/>
          <w:lang w:val="ru-RU"/>
        </w:rPr>
        <w:t>;</w:t>
      </w:r>
    </w:p>
    <w:p w14:paraId="234E4B1B" w14:textId="77777777" w:rsidR="004C3B8D" w:rsidRPr="00DB2751" w:rsidRDefault="004C3B8D" w:rsidP="004C3B8D">
      <w:pPr>
        <w:widowControl w:val="0"/>
        <w:numPr>
          <w:ilvl w:val="0"/>
          <w:numId w:val="5"/>
        </w:numPr>
        <w:suppressAutoHyphens/>
        <w:jc w:val="both"/>
        <w:rPr>
          <w:szCs w:val="24"/>
        </w:rPr>
      </w:pPr>
      <w:r w:rsidRPr="00DB2751">
        <w:rPr>
          <w:szCs w:val="24"/>
        </w:rPr>
        <w:t>наименованието на поръчката: „</w:t>
      </w:r>
      <w:r w:rsidR="00BA3FA5" w:rsidRPr="00DB2751">
        <w:t>Почистване на локални замърсявания на територията на</w:t>
      </w:r>
      <w:r w:rsidRPr="00DB2751">
        <w:rPr>
          <w:szCs w:val="24"/>
        </w:rPr>
        <w:t xml:space="preserve"> община Добричка”</w:t>
      </w:r>
      <w:r w:rsidR="00450126" w:rsidRPr="00DB2751">
        <w:rPr>
          <w:szCs w:val="24"/>
        </w:rPr>
        <w:t>; обособената позиция, за която се подава офертата</w:t>
      </w:r>
      <w:r w:rsidRPr="00DB2751">
        <w:rPr>
          <w:szCs w:val="24"/>
        </w:rPr>
        <w:t>.</w:t>
      </w:r>
    </w:p>
    <w:p w14:paraId="0DA40EEC" w14:textId="77777777" w:rsidR="004C3B8D" w:rsidRPr="00DB2751" w:rsidRDefault="004C3B8D" w:rsidP="004C3B8D">
      <w:pPr>
        <w:widowControl w:val="0"/>
        <w:numPr>
          <w:ilvl w:val="0"/>
          <w:numId w:val="5"/>
        </w:numPr>
        <w:suppressAutoHyphens/>
        <w:jc w:val="both"/>
        <w:rPr>
          <w:szCs w:val="24"/>
        </w:rPr>
      </w:pPr>
      <w:r w:rsidRPr="00DB2751">
        <w:rPr>
          <w:szCs w:val="24"/>
        </w:rPr>
        <w:t>ако участникът изпраща офертата чрез препоръчана поща или куриерска служба на външната опаковка, и/или на придружаващите приемни документи, на пратката задължително се посочва, че това са документи за участие в обществена поръчка и името на лицето за контакт посочено в обявата.</w:t>
      </w:r>
    </w:p>
    <w:p w14:paraId="64D9ECEA" w14:textId="77777777" w:rsidR="004C3B8D" w:rsidRPr="00DB2751" w:rsidRDefault="00B226DC" w:rsidP="00B226DC">
      <w:pPr>
        <w:widowControl w:val="0"/>
        <w:suppressAutoHyphens/>
        <w:spacing w:before="120"/>
        <w:ind w:firstLine="708"/>
        <w:jc w:val="both"/>
        <w:rPr>
          <w:szCs w:val="24"/>
        </w:rPr>
      </w:pPr>
      <w:r w:rsidRPr="00DB2751">
        <w:rPr>
          <w:szCs w:val="24"/>
        </w:rPr>
        <w:t xml:space="preserve">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w:t>
      </w:r>
      <w:r w:rsidRPr="00DB2751">
        <w:rPr>
          <w:szCs w:val="24"/>
        </w:rPr>
        <w:lastRenderedPageBreak/>
        <w:t>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r w:rsidR="00D9067A" w:rsidRPr="00DB2751">
        <w:rPr>
          <w:szCs w:val="24"/>
        </w:rPr>
        <w:t xml:space="preserve"> </w:t>
      </w:r>
      <w:r w:rsidR="004C3B8D" w:rsidRPr="00DB2751">
        <w:rPr>
          <w:szCs w:val="24"/>
        </w:rPr>
        <w:t>Приемане на оферта/връщане на оферта</w:t>
      </w:r>
    </w:p>
    <w:p w14:paraId="1762C80B" w14:textId="77777777" w:rsidR="004C3B8D" w:rsidRPr="00DB2751" w:rsidRDefault="004C3B8D" w:rsidP="004C3B8D">
      <w:pPr>
        <w:spacing w:before="120"/>
        <w:ind w:firstLine="709"/>
        <w:jc w:val="both"/>
        <w:rPr>
          <w:szCs w:val="24"/>
          <w:lang w:val="ru-RU"/>
        </w:rPr>
      </w:pPr>
      <w:r w:rsidRPr="00DB2751">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14:paraId="43A10B36" w14:textId="77777777" w:rsidR="00B226DC" w:rsidRPr="00DB2751" w:rsidRDefault="00B226DC" w:rsidP="00B226DC">
      <w:pPr>
        <w:tabs>
          <w:tab w:val="left" w:pos="284"/>
          <w:tab w:val="left" w:pos="567"/>
        </w:tabs>
        <w:ind w:firstLine="567"/>
        <w:jc w:val="both"/>
        <w:rPr>
          <w:szCs w:val="24"/>
        </w:rPr>
      </w:pPr>
      <w:r w:rsidRPr="00DB2751">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14:paraId="0FA36E7D" w14:textId="77777777" w:rsidR="000C5956" w:rsidRDefault="00B226DC" w:rsidP="00B226DC">
      <w:pPr>
        <w:widowControl w:val="0"/>
        <w:suppressAutoHyphens/>
        <w:spacing w:before="120"/>
        <w:ind w:firstLine="567"/>
        <w:jc w:val="both"/>
        <w:rPr>
          <w:szCs w:val="24"/>
        </w:rPr>
      </w:pPr>
      <w:r w:rsidRPr="00DB2751">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14:paraId="1437FFD2" w14:textId="0BD27141" w:rsidR="004C3B8D" w:rsidRPr="00DB2751" w:rsidRDefault="004C3B8D" w:rsidP="000C5956">
      <w:pPr>
        <w:widowControl w:val="0"/>
        <w:suppressAutoHyphens/>
        <w:ind w:firstLine="567"/>
        <w:jc w:val="both"/>
        <w:rPr>
          <w:szCs w:val="24"/>
        </w:rPr>
      </w:pPr>
      <w:r w:rsidRPr="00DB2751">
        <w:rPr>
          <w:szCs w:val="24"/>
        </w:rPr>
        <w:t>Други изисквания</w:t>
      </w:r>
    </w:p>
    <w:p w14:paraId="435DCFAA" w14:textId="77777777" w:rsidR="00B226DC" w:rsidRPr="00DB2751" w:rsidRDefault="00B226DC" w:rsidP="000C5956">
      <w:pPr>
        <w:ind w:firstLine="567"/>
        <w:jc w:val="both"/>
        <w:rPr>
          <w:szCs w:val="24"/>
          <w:lang w:val="ru-RU"/>
        </w:rPr>
      </w:pPr>
      <w:r w:rsidRPr="00DB2751">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 </w:t>
      </w:r>
    </w:p>
    <w:p w14:paraId="00F48554" w14:textId="77777777" w:rsidR="00B226DC" w:rsidRPr="00DB2751" w:rsidRDefault="004C3B8D" w:rsidP="00B226DC">
      <w:pPr>
        <w:jc w:val="both"/>
        <w:rPr>
          <w:i/>
          <w:szCs w:val="24"/>
        </w:rPr>
      </w:pPr>
      <w:r w:rsidRPr="00DB2751">
        <w:rPr>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sidR="00B226DC" w:rsidRPr="00DB2751">
        <w:rPr>
          <w:i/>
          <w:szCs w:val="24"/>
        </w:rPr>
        <w:t xml:space="preserve"> За „Официален превод" виж </w:t>
      </w:r>
      <w:hyperlink r:id="rId11" w:history="1">
        <w:r w:rsidR="00B226DC" w:rsidRPr="00DB2751">
          <w:rPr>
            <w:rStyle w:val="a7"/>
            <w:i/>
            <w:color w:val="auto"/>
            <w:szCs w:val="24"/>
          </w:rPr>
          <w:t>http://www.mfa.bg</w:t>
        </w:r>
      </w:hyperlink>
      <w:r w:rsidR="00B226DC" w:rsidRPr="00DB2751">
        <w:rPr>
          <w:i/>
          <w:szCs w:val="24"/>
          <w:lang w:val="ru-RU"/>
        </w:rPr>
        <w:t xml:space="preserve"> .</w:t>
      </w:r>
    </w:p>
    <w:p w14:paraId="3FAB8F74" w14:textId="77777777" w:rsidR="004C3B8D" w:rsidRPr="00DB2751" w:rsidRDefault="004C3B8D" w:rsidP="00B226DC">
      <w:pPr>
        <w:spacing w:before="120"/>
        <w:ind w:firstLine="567"/>
        <w:jc w:val="both"/>
        <w:rPr>
          <w:i/>
          <w:szCs w:val="24"/>
          <w:lang w:val="ru-RU"/>
        </w:rPr>
      </w:pPr>
    </w:p>
    <w:p w14:paraId="33AB27DD" w14:textId="77777777" w:rsidR="00B226DC" w:rsidRPr="00DB2751" w:rsidRDefault="00B226DC" w:rsidP="00B226DC">
      <w:pPr>
        <w:tabs>
          <w:tab w:val="left" w:pos="284"/>
          <w:tab w:val="left" w:pos="567"/>
        </w:tabs>
        <w:ind w:firstLine="567"/>
        <w:jc w:val="both"/>
        <w:rPr>
          <w:szCs w:val="24"/>
        </w:rPr>
      </w:pPr>
      <w:r w:rsidRPr="00DB2751">
        <w:rPr>
          <w:szCs w:val="24"/>
        </w:rPr>
        <w:t>До изтичане на срока за получаване на оферти, всеки Участник може да промени, допълни или оттегли офертата си.</w:t>
      </w:r>
    </w:p>
    <w:p w14:paraId="48251C9B" w14:textId="77777777" w:rsidR="00B226DC" w:rsidRPr="00DB2751" w:rsidRDefault="00B226DC" w:rsidP="00B226DC">
      <w:pPr>
        <w:autoSpaceDE w:val="0"/>
        <w:autoSpaceDN w:val="0"/>
        <w:adjustRightInd w:val="0"/>
        <w:ind w:firstLine="567"/>
        <w:jc w:val="both"/>
        <w:rPr>
          <w:szCs w:val="24"/>
          <w:lang w:val="ru-RU"/>
        </w:rPr>
      </w:pPr>
      <w:r w:rsidRPr="00DB2751">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DB2751">
        <w:rPr>
          <w:b/>
          <w:szCs w:val="24"/>
        </w:rPr>
        <w:t>„Допълнение/Промяна на оферта (с входящ номер)”</w:t>
      </w:r>
      <w:r w:rsidRPr="00DB2751">
        <w:rPr>
          <w:szCs w:val="24"/>
        </w:rPr>
        <w:t xml:space="preserve"> – за наименованието на обществената поръчка и обособената позиция, за която се внася допълнението/промяната.</w:t>
      </w:r>
    </w:p>
    <w:p w14:paraId="40DDC483" w14:textId="77777777" w:rsidR="004C3B8D" w:rsidRPr="00DB2751" w:rsidRDefault="004C3B8D" w:rsidP="004C3B8D">
      <w:pPr>
        <w:spacing w:before="120"/>
        <w:jc w:val="both"/>
        <w:rPr>
          <w:i/>
          <w:szCs w:val="24"/>
        </w:rPr>
      </w:pPr>
    </w:p>
    <w:p w14:paraId="16C8A996" w14:textId="77777777" w:rsidR="004C3B8D" w:rsidRPr="00DB2751" w:rsidRDefault="004C3B8D" w:rsidP="000C5956">
      <w:pPr>
        <w:pStyle w:val="aa"/>
        <w:numPr>
          <w:ilvl w:val="0"/>
          <w:numId w:val="4"/>
        </w:numPr>
        <w:spacing w:before="120" w:line="360" w:lineRule="auto"/>
        <w:ind w:left="284" w:hanging="284"/>
        <w:outlineLvl w:val="0"/>
        <w:rPr>
          <w:b/>
          <w:szCs w:val="24"/>
        </w:rPr>
      </w:pPr>
      <w:r w:rsidRPr="00DB2751">
        <w:rPr>
          <w:b/>
          <w:szCs w:val="24"/>
        </w:rPr>
        <w:tab/>
        <w:t>Указания за попълване на образците на документите</w:t>
      </w:r>
    </w:p>
    <w:p w14:paraId="19AFA732" w14:textId="77777777" w:rsidR="00656BDF" w:rsidRPr="00656BDF" w:rsidRDefault="00656BDF" w:rsidP="000C5956">
      <w:pPr>
        <w:widowControl w:val="0"/>
        <w:suppressAutoHyphens/>
        <w:ind w:firstLine="709"/>
        <w:jc w:val="both"/>
        <w:outlineLvl w:val="0"/>
        <w:rPr>
          <w:rFonts w:eastAsia="Times New Roman" w:cs="Times New Roman"/>
          <w:szCs w:val="24"/>
          <w:lang w:eastAsia="bg-BG"/>
        </w:rPr>
      </w:pPr>
      <w:r w:rsidRPr="00656BDF">
        <w:rPr>
          <w:rFonts w:eastAsia="Times New Roman" w:cs="Times New Roman"/>
          <w:b/>
          <w:szCs w:val="24"/>
          <w:lang w:val="ru-RU" w:eastAsia="bg-BG"/>
        </w:rPr>
        <w:t xml:space="preserve">1. </w:t>
      </w:r>
      <w:r w:rsidRPr="00656BDF">
        <w:rPr>
          <w:rFonts w:eastAsia="Times New Roman" w:cs="Times New Roman"/>
          <w:b/>
          <w:szCs w:val="24"/>
          <w:lang w:eastAsia="bg-BG"/>
        </w:rPr>
        <w:t>ДЕКЛАРАЦИЯ по чл. 192, ал. 3 от ЗОП</w:t>
      </w:r>
    </w:p>
    <w:p w14:paraId="02ADF78B" w14:textId="77777777" w:rsidR="00656BDF" w:rsidRPr="00656BDF" w:rsidRDefault="00656BDF" w:rsidP="00656BDF">
      <w:pPr>
        <w:autoSpaceDE w:val="0"/>
        <w:autoSpaceDN w:val="0"/>
        <w:adjustRightInd w:val="0"/>
        <w:ind w:firstLine="567"/>
        <w:jc w:val="both"/>
        <w:rPr>
          <w:rFonts w:eastAsia="Times New Roman" w:cs="Times New Roman"/>
          <w:b/>
          <w:szCs w:val="24"/>
          <w:lang w:eastAsia="bg-BG"/>
        </w:rPr>
      </w:pPr>
      <w:r w:rsidRPr="00656BDF">
        <w:rPr>
          <w:rFonts w:eastAsia="Times New Roman" w:cs="Times New Roman"/>
          <w:color w:val="000000"/>
          <w:szCs w:val="24"/>
          <w:lang w:eastAsia="bg-BG"/>
        </w:rPr>
        <w:t>При подаване на оферта Участникът декларира липсата на основания за отстраняване чрез представяне на попълнена декларация – Образец № 1.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14:paraId="66FE42D2" w14:textId="77777777" w:rsidR="00656BDF" w:rsidRPr="00656BDF" w:rsidRDefault="00656BDF" w:rsidP="00656BDF">
      <w:pPr>
        <w:widowControl w:val="0"/>
        <w:suppressAutoHyphens/>
        <w:spacing w:before="240" w:after="240"/>
        <w:ind w:firstLine="567"/>
        <w:jc w:val="both"/>
        <w:outlineLvl w:val="0"/>
        <w:rPr>
          <w:rFonts w:eastAsia="Times New Roman" w:cs="Times New Roman"/>
          <w:b/>
          <w:szCs w:val="24"/>
          <w:lang w:eastAsia="bg-BG"/>
        </w:rPr>
      </w:pPr>
      <w:r w:rsidRPr="00656BDF">
        <w:rPr>
          <w:rFonts w:eastAsia="Times New Roman" w:cs="Times New Roman"/>
          <w:b/>
          <w:szCs w:val="24"/>
          <w:lang w:eastAsia="bg-BG"/>
        </w:rPr>
        <w:t>ПОПЪЛВАНЕ НА ФОРМУЛЯРА</w:t>
      </w:r>
    </w:p>
    <w:p w14:paraId="43565C64" w14:textId="77777777" w:rsidR="00656BDF" w:rsidRP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1.1. ЧАСТ ПЪРВА:</w:t>
      </w:r>
      <w:r w:rsidRPr="00656BDF">
        <w:rPr>
          <w:rFonts w:eastAsia="Times New Roman" w:cs="Times New Roman"/>
          <w:szCs w:val="24"/>
          <w:lang w:eastAsia="bg-BG"/>
        </w:rPr>
        <w:t xml:space="preserve">Информация за процедурата за възлагане на обществена </w:t>
      </w:r>
      <w:r w:rsidRPr="00656BDF">
        <w:rPr>
          <w:rFonts w:eastAsia="Times New Roman" w:cs="Times New Roman"/>
          <w:szCs w:val="24"/>
          <w:lang w:eastAsia="bg-BG"/>
        </w:rPr>
        <w:lastRenderedPageBreak/>
        <w:t>поръчка е попълнена от Възложителя.</w:t>
      </w:r>
    </w:p>
    <w:p w14:paraId="63233A99" w14:textId="77777777" w:rsidR="00656BDF" w:rsidRPr="00656BDF" w:rsidRDefault="00656BDF" w:rsidP="0023622B">
      <w:pPr>
        <w:widowControl w:val="0"/>
        <w:tabs>
          <w:tab w:val="left" w:pos="284"/>
          <w:tab w:val="left" w:pos="567"/>
        </w:tabs>
        <w:suppressAutoHyphens/>
        <w:spacing w:before="120"/>
        <w:ind w:firstLine="567"/>
        <w:jc w:val="both"/>
        <w:rPr>
          <w:rFonts w:eastAsia="Times New Roman" w:cs="Times New Roman"/>
          <w:szCs w:val="24"/>
          <w:lang w:eastAsia="bg-BG"/>
        </w:rPr>
      </w:pPr>
      <w:r w:rsidRPr="00656BDF">
        <w:rPr>
          <w:rFonts w:eastAsia="Times New Roman" w:cs="Times New Roman"/>
          <w:b/>
          <w:szCs w:val="24"/>
          <w:lang w:eastAsia="bg-BG"/>
        </w:rPr>
        <w:t>1.2. ЧАСТ ВТОРА:</w:t>
      </w:r>
      <w:r w:rsidRPr="00656BDF">
        <w:rPr>
          <w:rFonts w:eastAsia="Times New Roman" w:cs="Times New Roman"/>
          <w:szCs w:val="24"/>
          <w:lang w:eastAsia="bg-BG"/>
        </w:rPr>
        <w:t xml:space="preserve"> Информация за икономическия оператор</w:t>
      </w:r>
    </w:p>
    <w:p w14:paraId="598BEA5B" w14:textId="77777777" w:rsidR="00656BDF" w:rsidRPr="00656BDF" w:rsidRDefault="00656BDF" w:rsidP="0023622B">
      <w:pPr>
        <w:widowControl w:val="0"/>
        <w:tabs>
          <w:tab w:val="left" w:pos="284"/>
          <w:tab w:val="left" w:pos="567"/>
        </w:tabs>
        <w:suppressAutoHyphens/>
        <w:spacing w:before="120"/>
        <w:ind w:firstLine="567"/>
        <w:jc w:val="both"/>
        <w:rPr>
          <w:rFonts w:eastAsia="Times New Roman" w:cs="Times New Roman"/>
          <w:szCs w:val="24"/>
          <w:lang w:eastAsia="bg-BG"/>
        </w:rPr>
      </w:pPr>
      <w:r w:rsidRPr="00656BDF">
        <w:rPr>
          <w:rFonts w:eastAsia="Times New Roman" w:cs="Times New Roman"/>
          <w:b/>
          <w:szCs w:val="24"/>
          <w:lang w:eastAsia="bg-BG"/>
        </w:rPr>
        <w:t>Раздел А:</w:t>
      </w:r>
      <w:r w:rsidRPr="00656BDF">
        <w:rPr>
          <w:rFonts w:eastAsia="Times New Roman" w:cs="Times New Roman"/>
          <w:szCs w:val="24"/>
          <w:lang w:eastAsia="bg-BG"/>
        </w:rPr>
        <w:t xml:space="preserve"> Информация за икономическия оператор </w:t>
      </w:r>
      <w:r w:rsidRPr="00656BDF">
        <w:rPr>
          <w:rFonts w:eastAsia="Times New Roman" w:cs="Times New Roman"/>
          <w:b/>
          <w:szCs w:val="24"/>
          <w:lang w:eastAsia="bg-BG"/>
        </w:rPr>
        <w:t>-</w:t>
      </w:r>
      <w:r w:rsidRPr="00656BDF">
        <w:rPr>
          <w:rFonts w:eastAsia="Times New Roman" w:cs="Times New Roman"/>
          <w:szCs w:val="24"/>
          <w:lang w:eastAsia="bg-BG"/>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14:paraId="67AA78AD" w14:textId="77777777" w:rsidR="00656BDF" w:rsidRP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szCs w:val="24"/>
          <w:lang w:eastAsia="bg-BG"/>
        </w:rPr>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w:t>
      </w:r>
    </w:p>
    <w:p w14:paraId="11E479F7" w14:textId="77777777" w:rsid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szCs w:val="24"/>
          <w:lang w:eastAsia="bg-BG"/>
        </w:rPr>
        <w:t xml:space="preserve">В случай, че Участник е обединение, което не е юридическо лице, към декларацията се прилага копие от документ </w:t>
      </w:r>
      <w:r w:rsidRPr="00656BDF">
        <w:rPr>
          <w:rFonts w:eastAsia="Times New Roman" w:cs="Times New Roman"/>
          <w:color w:val="000000"/>
          <w:szCs w:val="24"/>
          <w:lang w:eastAsia="bg-BG"/>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Pr="00656BDF">
        <w:rPr>
          <w:rFonts w:eastAsia="Times New Roman" w:cs="Times New Roman"/>
          <w:szCs w:val="24"/>
          <w:lang w:eastAsia="bg-BG"/>
        </w:rPr>
        <w:t>С документа следва да се гарантира, че съставът на обединението няма да се променя за целия период на изпълнение на обществената поръчка.</w:t>
      </w:r>
    </w:p>
    <w:p w14:paraId="07179A51" w14:textId="0601A45C" w:rsidR="00566863" w:rsidRPr="00656BDF" w:rsidRDefault="00566863" w:rsidP="00656BDF">
      <w:pPr>
        <w:widowControl w:val="0"/>
        <w:tabs>
          <w:tab w:val="left" w:pos="284"/>
          <w:tab w:val="left" w:pos="567"/>
        </w:tabs>
        <w:suppressAutoHyphens/>
        <w:ind w:firstLine="567"/>
        <w:jc w:val="both"/>
        <w:rPr>
          <w:rFonts w:eastAsia="Times New Roman" w:cs="Times New Roman"/>
          <w:szCs w:val="24"/>
          <w:lang w:eastAsia="bg-BG"/>
        </w:rPr>
      </w:pPr>
      <w:r>
        <w:rPr>
          <w:rFonts w:eastAsia="Times New Roman" w:cs="Times New Roman"/>
          <w:szCs w:val="24"/>
          <w:lang w:eastAsia="bg-BG"/>
        </w:rPr>
        <w:t>Посочва се обособената позиция, за която е офертата.</w:t>
      </w:r>
    </w:p>
    <w:p w14:paraId="723BA17C" w14:textId="355488F9" w:rsidR="00566863" w:rsidRPr="00656BDF" w:rsidRDefault="00656BDF" w:rsidP="00656BDF">
      <w:pPr>
        <w:widowControl w:val="0"/>
        <w:tabs>
          <w:tab w:val="left" w:pos="284"/>
          <w:tab w:val="left" w:pos="567"/>
        </w:tabs>
        <w:suppressAutoHyphens/>
        <w:spacing w:before="240"/>
        <w:ind w:firstLine="567"/>
        <w:jc w:val="both"/>
        <w:rPr>
          <w:rFonts w:eastAsia="Times New Roman" w:cs="Times New Roman"/>
          <w:szCs w:val="24"/>
          <w:lang w:eastAsia="bg-BG"/>
        </w:rPr>
      </w:pPr>
      <w:r w:rsidRPr="00656BDF">
        <w:rPr>
          <w:rFonts w:eastAsia="Times New Roman" w:cs="Times New Roman"/>
          <w:b/>
          <w:szCs w:val="24"/>
          <w:lang w:eastAsia="bg-BG"/>
        </w:rPr>
        <w:t>Раздел Б:</w:t>
      </w:r>
      <w:r w:rsidRPr="00656BDF">
        <w:rPr>
          <w:rFonts w:eastAsia="Times New Roman" w:cs="Times New Roman"/>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14:paraId="5D796543" w14:textId="77777777" w:rsidR="00656BDF" w:rsidRPr="00656BDF" w:rsidRDefault="00656BDF" w:rsidP="00656BDF">
      <w:pPr>
        <w:widowControl w:val="0"/>
        <w:tabs>
          <w:tab w:val="left" w:pos="284"/>
          <w:tab w:val="left" w:pos="567"/>
        </w:tabs>
        <w:suppressAutoHyphens/>
        <w:spacing w:before="240"/>
        <w:ind w:firstLine="567"/>
        <w:jc w:val="both"/>
        <w:rPr>
          <w:rFonts w:eastAsia="Times New Roman" w:cs="Times New Roman"/>
          <w:szCs w:val="24"/>
          <w:lang w:eastAsia="bg-BG"/>
        </w:rPr>
      </w:pPr>
      <w:r w:rsidRPr="00656BDF">
        <w:rPr>
          <w:rFonts w:eastAsia="Times New Roman" w:cs="Times New Roman"/>
          <w:b/>
          <w:szCs w:val="24"/>
          <w:lang w:eastAsia="bg-BG"/>
        </w:rPr>
        <w:t>Раздел В:</w:t>
      </w:r>
      <w:r w:rsidRPr="00656BDF">
        <w:rPr>
          <w:rFonts w:eastAsia="Times New Roman" w:cs="Times New Roman"/>
          <w:szCs w:val="24"/>
          <w:lang w:eastAsia="bg-BG"/>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Декларация, съдържаща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14:paraId="152E9ED9" w14:textId="77777777" w:rsidR="00656BDF" w:rsidRPr="00656BDF" w:rsidRDefault="00656BDF" w:rsidP="00656BDF">
      <w:pPr>
        <w:tabs>
          <w:tab w:val="left" w:pos="567"/>
        </w:tabs>
        <w:spacing w:before="120"/>
        <w:ind w:firstLine="567"/>
        <w:jc w:val="both"/>
        <w:rPr>
          <w:rFonts w:eastAsia="Times New Roman" w:cs="Times New Roman"/>
          <w:szCs w:val="24"/>
          <w:lang w:eastAsia="bg-BG"/>
        </w:rPr>
      </w:pPr>
      <w:r w:rsidRPr="00656BDF">
        <w:rPr>
          <w:rFonts w:eastAsia="Times New Roman" w:cs="Times New Roman"/>
          <w:b/>
          <w:szCs w:val="24"/>
          <w:lang w:eastAsia="bg-BG"/>
        </w:rPr>
        <w:t>1.3 ЧАСТ ТРЕТА:</w:t>
      </w:r>
      <w:r w:rsidRPr="00656BDF">
        <w:rPr>
          <w:rFonts w:eastAsia="Times New Roman" w:cs="Times New Roman"/>
          <w:szCs w:val="24"/>
          <w:lang w:eastAsia="bg-BG"/>
        </w:rPr>
        <w:t xml:space="preserve"> Основания за изключване</w:t>
      </w:r>
    </w:p>
    <w:p w14:paraId="3890A6B3" w14:textId="77777777" w:rsidR="00656BDF" w:rsidRPr="00656BDF" w:rsidRDefault="00656BDF" w:rsidP="00656BDF">
      <w:pPr>
        <w:widowControl w:val="0"/>
        <w:suppressAutoHyphens/>
        <w:ind w:firstLine="567"/>
        <w:jc w:val="both"/>
        <w:textAlignment w:val="center"/>
        <w:rPr>
          <w:rFonts w:eastAsia="Times New Roman" w:cs="Times New Roman"/>
          <w:color w:val="000000"/>
          <w:szCs w:val="24"/>
          <w:lang w:eastAsia="bg-BG"/>
        </w:rPr>
      </w:pPr>
      <w:r w:rsidRPr="00656BDF">
        <w:rPr>
          <w:rFonts w:eastAsia="Times New Roman" w:cs="Times New Roman"/>
          <w:szCs w:val="24"/>
          <w:lang w:eastAsia="bg-BG"/>
        </w:rPr>
        <w:t xml:space="preserve">В тази част се декларира липсата на задължителни основания за отстраняване според чл.54, ал.1 от ЗОП. </w:t>
      </w:r>
      <w:r w:rsidRPr="00656BDF">
        <w:rPr>
          <w:rFonts w:eastAsia="Times New Roman" w:cs="Times New Roman"/>
          <w:color w:val="000000"/>
          <w:szCs w:val="24"/>
          <w:lang w:eastAsia="bg-BG"/>
        </w:rPr>
        <w:t>Основанията по ал.1, т.1, 2 и 7 се отнасят за лицата, които представляват участника съгласно регистъра, в който е вписан,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057FFE4" w14:textId="77777777" w:rsidR="00656BDF" w:rsidRPr="00656BDF" w:rsidRDefault="00656BDF" w:rsidP="00656BDF">
      <w:pPr>
        <w:widowControl w:val="0"/>
        <w:suppressAutoHyphens/>
        <w:ind w:firstLine="567"/>
        <w:jc w:val="both"/>
        <w:textAlignment w:val="center"/>
        <w:rPr>
          <w:rFonts w:eastAsia="Times New Roman" w:cs="Times New Roman"/>
          <w:color w:val="000000"/>
          <w:szCs w:val="24"/>
          <w:lang w:eastAsia="bg-BG"/>
        </w:rPr>
      </w:pPr>
      <w:r w:rsidRPr="00656BDF">
        <w:rPr>
          <w:rFonts w:eastAsia="Times New Roman" w:cs="Times New Roman"/>
          <w:szCs w:val="24"/>
          <w:lang w:eastAsia="bg-BG"/>
        </w:rPr>
        <w:t>Обстоятелствата по чл.54, ал.1, т.3 - 6 от ЗОП, както и тези, свързани с критериите за подбор,</w:t>
      </w:r>
      <w:r w:rsidRPr="00656BDF">
        <w:rPr>
          <w:rFonts w:eastAsia="Times New Roman" w:cs="Times New Roman"/>
          <w:color w:val="000000"/>
          <w:szCs w:val="24"/>
          <w:lang w:eastAsia="bg-BG"/>
        </w:rPr>
        <w:t xml:space="preserve"> се попълват в декларацията по чл.192, ал.3 от ЗОП (Образец № 1), подписана от лице, което може самостоятелно да представлява съответния стопански субект.</w:t>
      </w:r>
    </w:p>
    <w:p w14:paraId="6B007FA7" w14:textId="77777777" w:rsidR="00656BDF" w:rsidRPr="00656BDF" w:rsidRDefault="00656BDF" w:rsidP="00656BDF">
      <w:pPr>
        <w:tabs>
          <w:tab w:val="left" w:pos="567"/>
        </w:tabs>
        <w:ind w:firstLine="567"/>
        <w:jc w:val="both"/>
        <w:rPr>
          <w:rFonts w:eastAsia="Times New Roman" w:cs="Times New Roman"/>
          <w:szCs w:val="24"/>
          <w:lang w:val="ru-RU" w:eastAsia="bg-BG"/>
        </w:rPr>
      </w:pPr>
      <w:r w:rsidRPr="00656BDF">
        <w:rPr>
          <w:rFonts w:eastAsia="Times New Roman" w:cs="Times New Roman"/>
          <w:szCs w:val="24"/>
          <w:lang w:eastAsia="bg-BG"/>
        </w:rPr>
        <w:t>Когато Участникът е обединение, което не е юридическо лице, обстоятелствата по чл. 54, ал. 1, т. 3 – 6 се попълват в декларацията по чл. 192, ал. 3 от ЗОП (Образец № 1), подписан от представляващия обединението.</w:t>
      </w:r>
    </w:p>
    <w:p w14:paraId="0D2E21DB" w14:textId="77777777" w:rsidR="00656BDF" w:rsidRPr="00656BDF" w:rsidRDefault="00656BDF" w:rsidP="00656BDF">
      <w:pPr>
        <w:widowControl w:val="0"/>
        <w:suppressAutoHyphens/>
        <w:ind w:firstLine="567"/>
        <w:jc w:val="both"/>
        <w:textAlignment w:val="center"/>
        <w:rPr>
          <w:rFonts w:eastAsia="Times New Roman" w:cs="Times New Roman"/>
          <w:szCs w:val="24"/>
          <w:lang w:eastAsia="bg-BG"/>
        </w:rPr>
      </w:pPr>
      <w:r w:rsidRPr="00656BDF">
        <w:rPr>
          <w:rFonts w:eastAsia="Times New Roman" w:cs="Times New Roman"/>
          <w:szCs w:val="24"/>
          <w:lang w:eastAsia="bg-BG"/>
        </w:rPr>
        <w:t>Попълват се:</w:t>
      </w:r>
    </w:p>
    <w:p w14:paraId="3DD58F86" w14:textId="77777777" w:rsidR="00656BDF" w:rsidRPr="00656BDF" w:rsidRDefault="00656BDF" w:rsidP="00656BDF">
      <w:pPr>
        <w:widowControl w:val="0"/>
        <w:tabs>
          <w:tab w:val="left" w:pos="284"/>
          <w:tab w:val="left" w:pos="1311"/>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1 и Т. 2:</w:t>
      </w:r>
      <w:r w:rsidRPr="00656BDF">
        <w:rPr>
          <w:rFonts w:eastAsia="Times New Roman" w:cs="Times New Roman"/>
          <w:szCs w:val="24"/>
          <w:lang w:eastAsia="bg-BG"/>
        </w:rPr>
        <w:t xml:space="preserve"> Основания, свързани с наказателни присъди; </w:t>
      </w:r>
    </w:p>
    <w:p w14:paraId="44EFCDAA" w14:textId="77777777" w:rsidR="00656BDF" w:rsidRPr="00656BDF" w:rsidRDefault="00656BDF" w:rsidP="00656BDF">
      <w:pPr>
        <w:widowControl w:val="0"/>
        <w:tabs>
          <w:tab w:val="left" w:pos="284"/>
          <w:tab w:val="left" w:pos="1311"/>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3:</w:t>
      </w:r>
      <w:r w:rsidRPr="00656BDF">
        <w:rPr>
          <w:rFonts w:eastAsia="Times New Roman" w:cs="Times New Roman"/>
          <w:szCs w:val="24"/>
          <w:lang w:eastAsia="bg-BG"/>
        </w:rPr>
        <w:t xml:space="preserve"> Основания, свързани с плащането на данъци или социални осигуровки; </w:t>
      </w:r>
    </w:p>
    <w:p w14:paraId="3EB1BF43" w14:textId="77777777" w:rsidR="00656BDF" w:rsidRPr="00656BDF" w:rsidRDefault="00656BDF" w:rsidP="00656BDF">
      <w:pPr>
        <w:widowControl w:val="0"/>
        <w:tabs>
          <w:tab w:val="left" w:pos="284"/>
          <w:tab w:val="left" w:pos="1134"/>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4:</w:t>
      </w:r>
      <w:r w:rsidRPr="00656BDF">
        <w:rPr>
          <w:rFonts w:eastAsia="Times New Roman" w:cs="Times New Roman"/>
          <w:szCs w:val="24"/>
          <w:lang w:eastAsia="bg-BG"/>
        </w:rPr>
        <w:t xml:space="preserve"> Основания, свързани с представяне на документи с невярно съдържание и укриване на изискваща се информация;</w:t>
      </w:r>
    </w:p>
    <w:p w14:paraId="44033246" w14:textId="77777777" w:rsidR="00656BDF" w:rsidRPr="00656BDF" w:rsidRDefault="00656BDF" w:rsidP="00656BDF">
      <w:pPr>
        <w:widowControl w:val="0"/>
        <w:tabs>
          <w:tab w:val="left" w:pos="284"/>
          <w:tab w:val="left" w:pos="1134"/>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5:</w:t>
      </w:r>
      <w:r w:rsidRPr="00656BDF">
        <w:rPr>
          <w:rFonts w:eastAsia="Times New Roman" w:cs="Times New Roman"/>
          <w:szCs w:val="24"/>
          <w:lang w:eastAsia="bg-BG"/>
        </w:rPr>
        <w:t xml:space="preserve"> Основания, свързани с нарушение на трудовото законодателство;</w:t>
      </w:r>
    </w:p>
    <w:p w14:paraId="49AC8577"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b/>
          <w:szCs w:val="24"/>
          <w:lang w:eastAsia="bg-BG"/>
        </w:rPr>
      </w:pPr>
      <w:r w:rsidRPr="00656BDF">
        <w:rPr>
          <w:rFonts w:eastAsia="Times New Roman" w:cs="Times New Roman"/>
          <w:b/>
          <w:szCs w:val="24"/>
          <w:lang w:eastAsia="bg-BG"/>
        </w:rPr>
        <w:t xml:space="preserve">Т. 6: </w:t>
      </w:r>
      <w:r w:rsidRPr="00656BDF">
        <w:rPr>
          <w:rFonts w:eastAsia="Times New Roman" w:cs="Times New Roman"/>
          <w:szCs w:val="24"/>
          <w:lang w:eastAsia="bg-BG"/>
        </w:rPr>
        <w:t>Основания, свързани с конфликт на интереси;</w:t>
      </w:r>
    </w:p>
    <w:p w14:paraId="7A88FE7E"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Т. 7:</w:t>
      </w:r>
      <w:r w:rsidRPr="00656BDF">
        <w:rPr>
          <w:rFonts w:eastAsia="Times New Roman" w:cs="Times New Roman"/>
          <w:szCs w:val="24"/>
          <w:lang w:eastAsia="bg-BG"/>
        </w:rPr>
        <w:t xml:space="preserve"> Наличие на свързаност по смисъла на §. 2, т.45 от Допълнителни разпоредби на </w:t>
      </w:r>
      <w:r w:rsidRPr="00656BDF">
        <w:rPr>
          <w:rFonts w:eastAsia="Times New Roman" w:cs="Times New Roman"/>
          <w:szCs w:val="24"/>
          <w:lang w:eastAsia="bg-BG"/>
        </w:rPr>
        <w:lastRenderedPageBreak/>
        <w:t>ЗОП между участници в конкретна процедура;</w:t>
      </w:r>
    </w:p>
    <w:p w14:paraId="749826ED"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 xml:space="preserve">Т. 8: </w:t>
      </w:r>
      <w:r w:rsidRPr="00656BDF">
        <w:rPr>
          <w:rFonts w:eastAsia="Times New Roman" w:cs="Times New Roman"/>
          <w:szCs w:val="24"/>
          <w:lang w:eastAsia="bg-BG"/>
        </w:rPr>
        <w:t>Наличие на обстоятелство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656BDF">
        <w:rPr>
          <w:rFonts w:eastAsia="Times New Roman" w:cs="Times New Roman"/>
          <w:bCs/>
          <w:color w:val="000000"/>
          <w:szCs w:val="24"/>
          <w:lang w:eastAsia="bg-BG"/>
        </w:rPr>
        <w:t xml:space="preserve"> (ЗИФОДРЮПДРСТЛТДС)</w:t>
      </w:r>
      <w:r w:rsidRPr="00656BDF">
        <w:rPr>
          <w:rFonts w:eastAsia="Times New Roman" w:cs="Times New Roman"/>
          <w:szCs w:val="24"/>
          <w:lang w:eastAsia="bg-BG"/>
        </w:rPr>
        <w:t>;</w:t>
      </w:r>
    </w:p>
    <w:p w14:paraId="0C1A3562"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 xml:space="preserve">Т 9: </w:t>
      </w:r>
      <w:r w:rsidRPr="00656BDF">
        <w:rPr>
          <w:rFonts w:eastAsia="Times New Roman" w:cs="Times New Roman"/>
          <w:szCs w:val="24"/>
          <w:lang w:eastAsia="bg-BG"/>
        </w:rPr>
        <w:t>Обстоятелства по чл.69 от Закона за противодействие на корупцията и за отнемане на незаконно придобитото имущество</w:t>
      </w:r>
      <w:r w:rsidRPr="00656BDF">
        <w:rPr>
          <w:rFonts w:eastAsia="Times New Roman" w:cs="Times New Roman"/>
          <w:bCs/>
          <w:szCs w:val="24"/>
          <w:lang w:eastAsia="bg-BG"/>
        </w:rPr>
        <w:t xml:space="preserve"> (ЗПКОНПИ)</w:t>
      </w:r>
      <w:r w:rsidRPr="00656BDF">
        <w:rPr>
          <w:rFonts w:eastAsia="Times New Roman" w:cs="Times New Roman"/>
          <w:szCs w:val="24"/>
          <w:lang w:eastAsia="bg-BG"/>
        </w:rPr>
        <w:t>.</w:t>
      </w:r>
    </w:p>
    <w:p w14:paraId="647E97A3" w14:textId="77777777" w:rsidR="00656BDF" w:rsidRPr="00656BDF" w:rsidRDefault="00656BDF" w:rsidP="0023622B">
      <w:pPr>
        <w:tabs>
          <w:tab w:val="left" w:pos="567"/>
        </w:tabs>
        <w:spacing w:before="120"/>
        <w:ind w:firstLine="567"/>
        <w:jc w:val="both"/>
        <w:rPr>
          <w:rFonts w:eastAsia="Times New Roman" w:cs="Times New Roman"/>
          <w:szCs w:val="24"/>
          <w:lang w:val="ru-RU" w:eastAsia="bg-BG"/>
        </w:rPr>
      </w:pPr>
      <w:r w:rsidRPr="00656BDF">
        <w:rPr>
          <w:rFonts w:eastAsia="Times New Roman" w:cs="Times New Roman"/>
          <w:b/>
          <w:szCs w:val="24"/>
          <w:lang w:eastAsia="bg-BG"/>
        </w:rPr>
        <w:t>1.4. ЧАСТ ЧЕТВЪРТА:</w:t>
      </w:r>
      <w:r w:rsidRPr="00656BDF">
        <w:rPr>
          <w:rFonts w:eastAsia="Times New Roman" w:cs="Times New Roman"/>
          <w:szCs w:val="24"/>
          <w:lang w:eastAsia="bg-BG"/>
        </w:rPr>
        <w:t xml:space="preserve"> Критерии за подбор</w:t>
      </w:r>
    </w:p>
    <w:p w14:paraId="678C3A67" w14:textId="77777777" w:rsidR="00656BDF" w:rsidRPr="00656BDF" w:rsidRDefault="00656BDF" w:rsidP="00656BDF">
      <w:pPr>
        <w:tabs>
          <w:tab w:val="left" w:pos="567"/>
        </w:tabs>
        <w:spacing w:before="120"/>
        <w:jc w:val="both"/>
        <w:rPr>
          <w:rFonts w:eastAsia="Times New Roman" w:cs="Times New Roman"/>
          <w:szCs w:val="24"/>
          <w:lang w:eastAsia="bg-BG"/>
        </w:rPr>
      </w:pPr>
      <w:r w:rsidRPr="00656BDF">
        <w:rPr>
          <w:rFonts w:eastAsia="Times New Roman" w:cs="Times New Roman"/>
          <w:color w:val="0070C0"/>
          <w:szCs w:val="24"/>
          <w:lang w:eastAsia="bg-BG"/>
        </w:rPr>
        <w:tab/>
      </w:r>
      <w:r w:rsidRPr="00656BDF">
        <w:rPr>
          <w:rFonts w:eastAsia="Times New Roman" w:cs="Times New Roman"/>
          <w:szCs w:val="24"/>
          <w:lang w:eastAsia="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3C67E84" w14:textId="30DCCF5D" w:rsidR="00656BDF" w:rsidRPr="006C488E" w:rsidRDefault="00656BDF" w:rsidP="0023622B">
      <w:pPr>
        <w:tabs>
          <w:tab w:val="left" w:pos="426"/>
        </w:tabs>
        <w:jc w:val="both"/>
      </w:pPr>
      <w:r w:rsidRPr="006C488E">
        <w:rPr>
          <w:b/>
        </w:rPr>
        <w:tab/>
        <w:t>Раздел :</w:t>
      </w:r>
      <w:r w:rsidRPr="006C488E">
        <w:t xml:space="preserve"> Технически и професионални способности</w:t>
      </w:r>
    </w:p>
    <w:p w14:paraId="70F045B2" w14:textId="5D40EB15" w:rsidR="00656BDF" w:rsidRPr="006C488E" w:rsidRDefault="00B34E9D" w:rsidP="0023622B">
      <w:pPr>
        <w:tabs>
          <w:tab w:val="left" w:pos="426"/>
        </w:tabs>
        <w:jc w:val="both"/>
      </w:pPr>
      <w:r w:rsidRPr="006C488E">
        <w:tab/>
      </w:r>
      <w:r w:rsidRPr="006C488E">
        <w:tab/>
      </w:r>
      <w:r w:rsidR="00656BDF" w:rsidRPr="006C488E">
        <w:t>Възложителят определя следните критерии за подбор, които се отнасят до техническите и професионалните способности:</w:t>
      </w:r>
    </w:p>
    <w:p w14:paraId="4CAEC343" w14:textId="4E73E465" w:rsidR="00656BDF" w:rsidRPr="006C488E" w:rsidRDefault="00656BDF" w:rsidP="0023622B">
      <w:pPr>
        <w:spacing w:line="276" w:lineRule="exact"/>
        <w:ind w:firstLine="567"/>
        <w:jc w:val="both"/>
      </w:pPr>
      <w:r w:rsidRPr="006C488E">
        <w:t>През последните 3 (три) години, считано от датата на подаване на офертата, да е изпълнил минимум 1 (една) дейност с предмет идентичен или сходен с тези на обособената позиция, за която кандидатства. Под дейности със сходен предмет следва да се разбира: дейности по механизирано оформяне на терени - пробутване, натоварване и извозване на земни  маси или отпадъци и други дейности свързани с работата на изискваните машини.</w:t>
      </w:r>
    </w:p>
    <w:p w14:paraId="787B4AF3" w14:textId="0589FC67" w:rsidR="00DB2751" w:rsidRPr="00656BDF" w:rsidRDefault="00DB2751" w:rsidP="00DB2751">
      <w:pPr>
        <w:tabs>
          <w:tab w:val="left" w:pos="284"/>
          <w:tab w:val="left" w:pos="567"/>
        </w:tabs>
        <w:spacing w:before="120"/>
        <w:ind w:firstLine="567"/>
        <w:contextualSpacing/>
        <w:jc w:val="both"/>
        <w:rPr>
          <w:rFonts w:eastAsia="Calibri" w:cs="Times New Roman"/>
          <w:spacing w:val="-2"/>
          <w:w w:val="105"/>
          <w:szCs w:val="24"/>
          <w:highlight w:val="cyan"/>
        </w:rPr>
      </w:pPr>
      <w:r w:rsidRPr="00656BDF">
        <w:rPr>
          <w:rFonts w:eastAsia="Calibri" w:cs="Times New Roman"/>
          <w:szCs w:val="24"/>
        </w:rPr>
        <w:t xml:space="preserve">В </w:t>
      </w:r>
      <w:r w:rsidRPr="00656BDF">
        <w:rPr>
          <w:rFonts w:eastAsia="Calibri" w:cs="Times New Roman"/>
          <w:b/>
          <w:szCs w:val="24"/>
        </w:rPr>
        <w:t xml:space="preserve">точка </w:t>
      </w:r>
      <w:r w:rsidRPr="00DB2751">
        <w:rPr>
          <w:rFonts w:eastAsia="Calibri" w:cs="Times New Roman"/>
          <w:b/>
          <w:szCs w:val="24"/>
          <w:lang w:val="ru-RU"/>
        </w:rPr>
        <w:t>1</w:t>
      </w:r>
      <w:r w:rsidRPr="00656BDF">
        <w:rPr>
          <w:rFonts w:eastAsia="Calibri" w:cs="Times New Roman"/>
          <w:szCs w:val="24"/>
        </w:rPr>
        <w:t xml:space="preserve"> от раздела се предоставя списък на изпълнените дейности с идентичен или сходен предмет, като посочи: „описание“ на основните дейности; „Стойност на договора“ /лева без ДДС/; „Дата на започване и дата на приключване</w:t>
      </w:r>
      <w:r w:rsidRPr="00656BDF">
        <w:rPr>
          <w:rFonts w:eastAsia="Calibri" w:cs="Times New Roman"/>
          <w:spacing w:val="-2"/>
          <w:w w:val="105"/>
          <w:szCs w:val="24"/>
        </w:rPr>
        <w:t>“.</w:t>
      </w:r>
      <w:r w:rsidRPr="00DB2751">
        <w:rPr>
          <w:rFonts w:eastAsia="Calibri" w:cs="Times New Roman"/>
          <w:szCs w:val="24"/>
        </w:rPr>
        <w:t xml:space="preserve"> </w:t>
      </w:r>
      <w:r w:rsidRPr="00656BDF">
        <w:rPr>
          <w:rFonts w:eastAsia="Calibri" w:cs="Times New Roman"/>
          <w:szCs w:val="24"/>
        </w:rPr>
        <w:t>„</w:t>
      </w:r>
      <w:r w:rsidR="00B34E9D">
        <w:rPr>
          <w:rFonts w:eastAsia="Calibri" w:cs="Times New Roman"/>
          <w:szCs w:val="24"/>
        </w:rPr>
        <w:t>Получател</w:t>
      </w:r>
      <w:r w:rsidRPr="00656BDF">
        <w:rPr>
          <w:rFonts w:eastAsia="Calibri" w:cs="Times New Roman"/>
          <w:szCs w:val="24"/>
        </w:rPr>
        <w:t>“ - /Адрес, телефон, факс, електронна поща/;</w:t>
      </w:r>
    </w:p>
    <w:p w14:paraId="1A156560" w14:textId="198BEC2B" w:rsidR="00DB2751" w:rsidRPr="00B86DDA" w:rsidRDefault="00B34E9D" w:rsidP="00B34E9D">
      <w:pPr>
        <w:spacing w:before="120"/>
        <w:jc w:val="both"/>
      </w:pPr>
      <w:r w:rsidRPr="00B86DDA">
        <w:rPr>
          <w:lang w:val="ru-RU"/>
        </w:rPr>
        <w:tab/>
      </w:r>
      <w:r w:rsidR="00DB2751" w:rsidRPr="00B86DDA">
        <w:t>Участникът следва да разполага с необходимата техника (собствена и/или наета) за изпълнение на поръчката, както следва най-малко:</w:t>
      </w:r>
    </w:p>
    <w:p w14:paraId="3210CB45" w14:textId="77777777" w:rsidR="00DB2751" w:rsidRPr="00B86DDA" w:rsidRDefault="00DB2751" w:rsidP="00B34E9D">
      <w:pPr>
        <w:jc w:val="both"/>
      </w:pPr>
      <w:r w:rsidRPr="00B86DDA">
        <w:t xml:space="preserve">За ОП 1: Комбиниран багер – 1 бр.; Самосвал - 1 бр.; </w:t>
      </w:r>
    </w:p>
    <w:p w14:paraId="0CA81605" w14:textId="77777777" w:rsidR="00DB2751" w:rsidRPr="00B86DDA" w:rsidRDefault="00DB2751" w:rsidP="00B34E9D">
      <w:pPr>
        <w:jc w:val="both"/>
      </w:pPr>
      <w:r w:rsidRPr="00B86DDA">
        <w:t xml:space="preserve">За ОП 2: Комбиниран багер – 1 бр.; Самосвал - 1 бр.; </w:t>
      </w:r>
    </w:p>
    <w:p w14:paraId="74B7E909" w14:textId="4911F54E" w:rsidR="00DB2751" w:rsidRPr="00B86DDA" w:rsidRDefault="00DB2751" w:rsidP="00B34E9D">
      <w:pPr>
        <w:jc w:val="both"/>
      </w:pPr>
      <w:r w:rsidRPr="00B86DDA">
        <w:t>За ОП</w:t>
      </w:r>
      <w:r w:rsidR="00B34E9D" w:rsidRPr="00B86DDA">
        <w:t xml:space="preserve"> 3</w:t>
      </w:r>
      <w:r w:rsidRPr="00B86DDA">
        <w:t xml:space="preserve">: Булдозер верижен - 1 бр.; Самосвал - 1 бр.; Фадрома – 1 бр. и Комбиниран багер- 1 </w:t>
      </w:r>
      <w:proofErr w:type="spellStart"/>
      <w:r w:rsidRPr="00B86DDA">
        <w:t>бр</w:t>
      </w:r>
      <w:proofErr w:type="spellEnd"/>
      <w:r w:rsidRPr="00B86DDA">
        <w:t>;</w:t>
      </w:r>
    </w:p>
    <w:p w14:paraId="1DE29338" w14:textId="506052EF" w:rsidR="00DB2751" w:rsidRPr="00B86DDA" w:rsidRDefault="00DB2751" w:rsidP="00B34E9D">
      <w:pPr>
        <w:jc w:val="both"/>
      </w:pPr>
      <w:r w:rsidRPr="00B86DDA">
        <w:t>Участникът следва да разполага с гореописаната техника за всяка обособена позиция, за която кандидатства, както и с правоспособни водачи за всяка машина.</w:t>
      </w:r>
      <w:r w:rsidR="00B34E9D" w:rsidRPr="00B86DDA">
        <w:t xml:space="preserve">  списък на техниката, с която разполага и копие на регистрационните талони на машините, във връзка с чл. 59, ал. 1, т. 3 от ЗОП.</w:t>
      </w:r>
    </w:p>
    <w:p w14:paraId="18368A49" w14:textId="1CDD8FC6" w:rsidR="00DB2751" w:rsidRPr="00B86DDA" w:rsidRDefault="00B34E9D" w:rsidP="00B34E9D">
      <w:pPr>
        <w:ind w:firstLine="567"/>
        <w:jc w:val="both"/>
      </w:pPr>
      <w:r w:rsidRPr="00B86DDA">
        <w:t>С</w:t>
      </w:r>
      <w:r w:rsidR="00DB2751" w:rsidRPr="00B86DDA">
        <w:t>писък на правоспособните водачи, съдържащ трите имена, номер и дата на документ за правоспособност</w:t>
      </w:r>
      <w:r w:rsidRPr="00B86DDA">
        <w:t xml:space="preserve"> се попълва в то</w:t>
      </w:r>
      <w:r w:rsidR="00B86DDA" w:rsidRPr="00B86DDA">
        <w:t xml:space="preserve">чка 2 и точка 3, като </w:t>
      </w:r>
    </w:p>
    <w:p w14:paraId="33667DD4" w14:textId="495A5FFF" w:rsidR="00656BDF" w:rsidRPr="00656BDF" w:rsidRDefault="00B34E9D" w:rsidP="00B86DDA">
      <w:pPr>
        <w:tabs>
          <w:tab w:val="left" w:pos="284"/>
          <w:tab w:val="left" w:pos="567"/>
        </w:tabs>
        <w:spacing w:before="120"/>
        <w:ind w:firstLine="567"/>
        <w:contextualSpacing/>
        <w:jc w:val="both"/>
        <w:rPr>
          <w:rFonts w:eastAsia="Calibri" w:cs="Times New Roman"/>
          <w:szCs w:val="24"/>
        </w:rPr>
      </w:pPr>
      <w:r w:rsidRPr="00656BDF">
        <w:rPr>
          <w:rFonts w:eastAsia="Calibri" w:cs="Times New Roman"/>
          <w:szCs w:val="24"/>
        </w:rPr>
        <w:t xml:space="preserve">В </w:t>
      </w:r>
      <w:r w:rsidRPr="00656BDF">
        <w:rPr>
          <w:rFonts w:eastAsia="Calibri" w:cs="Times New Roman"/>
          <w:b/>
          <w:szCs w:val="24"/>
        </w:rPr>
        <w:t xml:space="preserve">точка </w:t>
      </w:r>
      <w:r w:rsidR="00B86DDA">
        <w:rPr>
          <w:rFonts w:eastAsia="Calibri" w:cs="Times New Roman"/>
          <w:b/>
          <w:szCs w:val="24"/>
          <w:lang w:val="ru-RU"/>
        </w:rPr>
        <w:t>2</w:t>
      </w:r>
      <w:r w:rsidRPr="00656BDF">
        <w:rPr>
          <w:rFonts w:eastAsia="Calibri" w:cs="Times New Roman"/>
          <w:szCs w:val="24"/>
        </w:rPr>
        <w:t xml:space="preserve"> от раздела се предоставя списък на </w:t>
      </w:r>
      <w:r w:rsidR="00656BDF" w:rsidRPr="00656BDF">
        <w:rPr>
          <w:rFonts w:eastAsia="Calibri" w:cs="Times New Roman"/>
          <w:szCs w:val="24"/>
        </w:rPr>
        <w:t xml:space="preserve">лицата, които </w:t>
      </w:r>
      <w:r w:rsidR="00656BDF" w:rsidRPr="00656BDF">
        <w:rPr>
          <w:rFonts w:eastAsia="Calibri" w:cs="Times New Roman"/>
          <w:b/>
          <w:szCs w:val="24"/>
        </w:rPr>
        <w:t>НЕ СА</w:t>
      </w:r>
      <w:r w:rsidR="00656BDF" w:rsidRPr="00656BDF">
        <w:rPr>
          <w:rFonts w:eastAsia="Calibri" w:cs="Times New Roman"/>
          <w:szCs w:val="24"/>
        </w:rPr>
        <w:t xml:space="preserve"> 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Декларации.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14:paraId="7DF5FF16" w14:textId="7CB79C48" w:rsidR="00656BDF" w:rsidRDefault="00B86DDA" w:rsidP="00B86DDA">
      <w:pPr>
        <w:widowControl w:val="0"/>
        <w:tabs>
          <w:tab w:val="left" w:pos="0"/>
          <w:tab w:val="left" w:pos="567"/>
        </w:tabs>
        <w:suppressAutoHyphens/>
        <w:contextualSpacing/>
        <w:jc w:val="both"/>
        <w:rPr>
          <w:rFonts w:eastAsia="Calibri" w:cs="Times New Roman"/>
          <w:szCs w:val="24"/>
        </w:rPr>
      </w:pPr>
      <w:r>
        <w:rPr>
          <w:rFonts w:eastAsia="Calibri" w:cs="Times New Roman"/>
          <w:b/>
          <w:szCs w:val="24"/>
        </w:rPr>
        <w:tab/>
        <w:t>В</w:t>
      </w:r>
      <w:r w:rsidR="00656BDF" w:rsidRPr="00656BDF">
        <w:rPr>
          <w:rFonts w:eastAsia="Calibri" w:cs="Times New Roman"/>
          <w:b/>
          <w:szCs w:val="24"/>
        </w:rPr>
        <w:t xml:space="preserve"> точка </w:t>
      </w:r>
      <w:r>
        <w:rPr>
          <w:rFonts w:eastAsia="Calibri" w:cs="Times New Roman"/>
          <w:b/>
          <w:szCs w:val="24"/>
        </w:rPr>
        <w:t>3</w:t>
      </w:r>
      <w:r w:rsidR="00656BDF" w:rsidRPr="00656BDF">
        <w:rPr>
          <w:rFonts w:eastAsia="Calibri" w:cs="Times New Roman"/>
          <w:szCs w:val="24"/>
        </w:rPr>
        <w:t xml:space="preserve"> се попълва информацията за лицата, които </w:t>
      </w:r>
      <w:r w:rsidR="00656BDF" w:rsidRPr="00656BDF">
        <w:rPr>
          <w:rFonts w:eastAsia="Calibri" w:cs="Times New Roman"/>
          <w:b/>
          <w:szCs w:val="24"/>
        </w:rPr>
        <w:t>СА</w:t>
      </w:r>
      <w:r w:rsidR="00656BDF" w:rsidRPr="00656BDF">
        <w:rPr>
          <w:rFonts w:eastAsia="Calibri" w:cs="Times New Roman"/>
          <w:szCs w:val="24"/>
        </w:rPr>
        <w:t xml:space="preserve"> свързани пряко с участника. </w:t>
      </w:r>
    </w:p>
    <w:p w14:paraId="2AF37AC8" w14:textId="6915E9D5" w:rsidR="00B86DDA" w:rsidRPr="00656BDF" w:rsidRDefault="00B86DDA" w:rsidP="00B86DDA">
      <w:pPr>
        <w:widowControl w:val="0"/>
        <w:tabs>
          <w:tab w:val="left" w:pos="0"/>
          <w:tab w:val="left" w:pos="567"/>
        </w:tabs>
        <w:suppressAutoHyphens/>
        <w:contextualSpacing/>
        <w:jc w:val="both"/>
        <w:rPr>
          <w:rFonts w:eastAsia="Calibri" w:cs="Times New Roman"/>
          <w:szCs w:val="24"/>
        </w:rPr>
      </w:pPr>
      <w:r>
        <w:rPr>
          <w:rFonts w:eastAsia="Calibri" w:cs="Times New Roman"/>
          <w:b/>
          <w:szCs w:val="24"/>
        </w:rPr>
        <w:tab/>
        <w:t>В</w:t>
      </w:r>
      <w:r w:rsidRPr="00656BDF">
        <w:rPr>
          <w:rFonts w:eastAsia="Calibri" w:cs="Times New Roman"/>
          <w:b/>
          <w:szCs w:val="24"/>
        </w:rPr>
        <w:t xml:space="preserve"> точка </w:t>
      </w:r>
      <w:r>
        <w:rPr>
          <w:rFonts w:eastAsia="Calibri" w:cs="Times New Roman"/>
          <w:b/>
          <w:szCs w:val="24"/>
        </w:rPr>
        <w:t>4</w:t>
      </w:r>
      <w:r w:rsidRPr="00656BDF">
        <w:rPr>
          <w:rFonts w:eastAsia="Calibri" w:cs="Times New Roman"/>
          <w:szCs w:val="24"/>
        </w:rPr>
        <w:t xml:space="preserve"> се попълва информацията за </w:t>
      </w:r>
      <w:r>
        <w:rPr>
          <w:rFonts w:eastAsia="Calibri" w:cs="Times New Roman"/>
          <w:szCs w:val="24"/>
        </w:rPr>
        <w:t>техниката, която участникът ще използва за изпълнение а поръчката, като се попълва с</w:t>
      </w:r>
      <w:r w:rsidRPr="00B86DDA">
        <w:rPr>
          <w:rFonts w:eastAsia="Calibri" w:cs="Times New Roman"/>
          <w:szCs w:val="24"/>
        </w:rPr>
        <w:t>писък на техниката</w:t>
      </w:r>
      <w:r>
        <w:rPr>
          <w:rFonts w:eastAsia="Calibri" w:cs="Times New Roman"/>
          <w:szCs w:val="24"/>
        </w:rPr>
        <w:t xml:space="preserve"> с посочване на В</w:t>
      </w:r>
      <w:r w:rsidRPr="00B86DDA">
        <w:rPr>
          <w:rFonts w:eastAsia="Calibri" w:cs="Times New Roman"/>
          <w:szCs w:val="24"/>
        </w:rPr>
        <w:t>ид</w:t>
      </w:r>
      <w:r>
        <w:rPr>
          <w:rFonts w:eastAsia="Calibri" w:cs="Times New Roman"/>
          <w:szCs w:val="24"/>
        </w:rPr>
        <w:t>а</w:t>
      </w:r>
      <w:r w:rsidRPr="00B86DDA">
        <w:rPr>
          <w:rFonts w:eastAsia="Calibri" w:cs="Times New Roman"/>
          <w:szCs w:val="24"/>
        </w:rPr>
        <w:t xml:space="preserve"> на техниката, регистрационен номер, номер и дата на регис</w:t>
      </w:r>
      <w:bookmarkStart w:id="0" w:name="_GoBack"/>
      <w:bookmarkEnd w:id="0"/>
      <w:r w:rsidRPr="00B86DDA">
        <w:rPr>
          <w:rFonts w:eastAsia="Calibri" w:cs="Times New Roman"/>
          <w:szCs w:val="24"/>
        </w:rPr>
        <w:t>трационния талон</w:t>
      </w:r>
    </w:p>
    <w:p w14:paraId="6147DD5C" w14:textId="705E18CF" w:rsidR="00656BDF" w:rsidRDefault="00656BDF" w:rsidP="00656BDF">
      <w:pPr>
        <w:widowControl w:val="0"/>
        <w:tabs>
          <w:tab w:val="left" w:pos="284"/>
          <w:tab w:val="left" w:pos="567"/>
        </w:tabs>
        <w:suppressAutoHyphens/>
        <w:spacing w:before="240"/>
        <w:ind w:firstLine="567"/>
        <w:jc w:val="both"/>
        <w:rPr>
          <w:rFonts w:eastAsia="Times New Roman" w:cs="Times New Roman"/>
          <w:b/>
          <w:szCs w:val="24"/>
          <w:lang w:eastAsia="bg-BG"/>
        </w:rPr>
      </w:pPr>
      <w:r w:rsidRPr="00656BDF">
        <w:rPr>
          <w:rFonts w:eastAsia="Times New Roman" w:cs="Times New Roman"/>
          <w:b/>
          <w:szCs w:val="24"/>
          <w:u w:val="single"/>
          <w:lang w:eastAsia="bg-BG"/>
        </w:rPr>
        <w:lastRenderedPageBreak/>
        <w:t>Важно:</w:t>
      </w:r>
      <w:r w:rsidRPr="00656BDF">
        <w:rPr>
          <w:rFonts w:eastAsia="Times New Roman" w:cs="Times New Roman"/>
          <w:b/>
          <w:szCs w:val="24"/>
          <w:lang w:eastAsia="bg-BG"/>
        </w:rPr>
        <w:t xml:space="preserve"> Поставените в настоящия раздел изисквания са минималните изисквания на Възложителя за изпълнение на дейностите.</w:t>
      </w:r>
    </w:p>
    <w:p w14:paraId="1D0401B1" w14:textId="77777777" w:rsidR="00656BDF" w:rsidRPr="00656BDF" w:rsidRDefault="00656BDF" w:rsidP="00656BDF">
      <w:pPr>
        <w:widowControl w:val="0"/>
        <w:tabs>
          <w:tab w:val="left" w:pos="426"/>
        </w:tabs>
        <w:suppressAutoHyphens/>
        <w:spacing w:before="120"/>
        <w:ind w:firstLine="709"/>
        <w:jc w:val="both"/>
        <w:rPr>
          <w:rFonts w:eastAsia="Times New Roman" w:cs="Times New Roman"/>
          <w:szCs w:val="24"/>
          <w:lang w:eastAsia="bg-BG"/>
        </w:rPr>
      </w:pPr>
      <w:r w:rsidRPr="00656BDF">
        <w:rPr>
          <w:rFonts w:eastAsia="Times New Roman" w:cs="Times New Roman"/>
          <w:b/>
          <w:spacing w:val="-1"/>
          <w:w w:val="110"/>
          <w:szCs w:val="24"/>
          <w:lang w:eastAsia="bg-BG"/>
        </w:rPr>
        <w:t xml:space="preserve">1.5 </w:t>
      </w:r>
      <w:r w:rsidRPr="00656BDF">
        <w:rPr>
          <w:rFonts w:eastAsia="Times New Roman" w:cs="Times New Roman"/>
          <w:b/>
          <w:szCs w:val="24"/>
          <w:lang w:eastAsia="bg-BG"/>
        </w:rPr>
        <w:t>ЧАСТ ПЕТА:</w:t>
      </w:r>
      <w:r w:rsidRPr="00656BDF">
        <w:rPr>
          <w:rFonts w:eastAsia="Times New Roman" w:cs="Times New Roman"/>
          <w:szCs w:val="24"/>
          <w:lang w:eastAsia="bg-BG"/>
        </w:rPr>
        <w:t xml:space="preserve"> Заключителни положения</w:t>
      </w:r>
    </w:p>
    <w:p w14:paraId="3DC1B306" w14:textId="77777777" w:rsidR="00656BDF" w:rsidRPr="00656BDF" w:rsidRDefault="00656BDF" w:rsidP="00656BDF">
      <w:pPr>
        <w:widowControl w:val="0"/>
        <w:tabs>
          <w:tab w:val="left" w:pos="426"/>
        </w:tabs>
        <w:suppressAutoHyphens/>
        <w:spacing w:before="120" w:after="240"/>
        <w:ind w:firstLine="709"/>
        <w:jc w:val="both"/>
        <w:rPr>
          <w:rFonts w:eastAsia="Times New Roman" w:cs="Times New Roman"/>
          <w:szCs w:val="24"/>
          <w:lang w:eastAsia="bg-BG"/>
        </w:rPr>
      </w:pPr>
      <w:r w:rsidRPr="00656BDF">
        <w:rPr>
          <w:rFonts w:eastAsia="Times New Roman" w:cs="Times New Roman"/>
          <w:szCs w:val="24"/>
          <w:lang w:eastAsia="bg-BG"/>
        </w:rPr>
        <w:t>В тази част участниците декларират, че информацията, посочена в декларацията е вярна и точна, и че е представена с ясното разбиране на последствията при представяне на неверни данни.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14:paraId="1470733C" w14:textId="77777777" w:rsidR="004C3B8D" w:rsidRPr="006C488E" w:rsidRDefault="004C3B8D" w:rsidP="00D9067A">
      <w:pPr>
        <w:pStyle w:val="aa"/>
        <w:numPr>
          <w:ilvl w:val="1"/>
          <w:numId w:val="7"/>
        </w:numPr>
        <w:spacing w:before="120"/>
        <w:ind w:left="426" w:hanging="426"/>
        <w:outlineLvl w:val="0"/>
        <w:rPr>
          <w:b/>
          <w:szCs w:val="24"/>
          <w:u w:val="single"/>
        </w:rPr>
      </w:pPr>
      <w:r w:rsidRPr="006C488E">
        <w:rPr>
          <w:b/>
          <w:szCs w:val="24"/>
          <w:u w:val="single"/>
        </w:rPr>
        <w:t>Техническо предложение – Образец № 2</w:t>
      </w:r>
    </w:p>
    <w:p w14:paraId="3901786C" w14:textId="77777777" w:rsidR="00637DBB" w:rsidRPr="006C488E" w:rsidRDefault="00637DBB" w:rsidP="00637DBB">
      <w:pPr>
        <w:pStyle w:val="10"/>
        <w:tabs>
          <w:tab w:val="left" w:pos="2655"/>
        </w:tabs>
        <w:spacing w:line="240" w:lineRule="auto"/>
        <w:ind w:right="23" w:firstLine="567"/>
        <w:rPr>
          <w:rStyle w:val="81"/>
          <w:sz w:val="24"/>
          <w:szCs w:val="24"/>
          <w:lang w:val="bg-BG"/>
        </w:rPr>
      </w:pPr>
      <w:r w:rsidRPr="006C488E">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Предложението се изготвя </w:t>
      </w:r>
      <w:r w:rsidRPr="006C488E">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14:paraId="0875A6D9" w14:textId="77777777" w:rsidR="00637DBB" w:rsidRPr="006C488E" w:rsidRDefault="00637DBB" w:rsidP="00637DBB">
      <w:pPr>
        <w:ind w:left="118" w:right="115" w:firstLine="449"/>
        <w:jc w:val="both"/>
        <w:rPr>
          <w:spacing w:val="-1"/>
          <w:szCs w:val="24"/>
        </w:rPr>
      </w:pPr>
      <w:r w:rsidRPr="006C488E">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 като след извършен оглед на място се правят следните п</w:t>
      </w:r>
      <w:r w:rsidRPr="006C488E">
        <w:rPr>
          <w:spacing w:val="-1"/>
          <w:szCs w:val="24"/>
        </w:rPr>
        <w:t>редложения:</w:t>
      </w:r>
    </w:p>
    <w:p w14:paraId="0975E560" w14:textId="77777777" w:rsidR="004C3B8D" w:rsidRPr="006C488E" w:rsidRDefault="003C238E" w:rsidP="004C3B8D">
      <w:pPr>
        <w:pStyle w:val="aa"/>
        <w:numPr>
          <w:ilvl w:val="0"/>
          <w:numId w:val="3"/>
        </w:numPr>
        <w:spacing w:before="120"/>
        <w:outlineLvl w:val="0"/>
        <w:rPr>
          <w:szCs w:val="24"/>
        </w:rPr>
      </w:pPr>
      <w:r w:rsidRPr="006C488E">
        <w:rPr>
          <w:szCs w:val="24"/>
        </w:rPr>
        <w:t>Предложение за изпълнение на поръчката;</w:t>
      </w:r>
    </w:p>
    <w:p w14:paraId="4E6C3B9F" w14:textId="77777777" w:rsidR="004C3B8D" w:rsidRPr="00677245" w:rsidRDefault="004C3B8D" w:rsidP="004C3B8D">
      <w:pPr>
        <w:pStyle w:val="aa"/>
        <w:numPr>
          <w:ilvl w:val="0"/>
          <w:numId w:val="3"/>
        </w:numPr>
        <w:spacing w:before="120"/>
        <w:outlineLvl w:val="0"/>
        <w:rPr>
          <w:szCs w:val="24"/>
        </w:rPr>
      </w:pPr>
      <w:r w:rsidRPr="00677245">
        <w:rPr>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14:paraId="29382764" w14:textId="77777777" w:rsidR="004C3B8D" w:rsidRPr="002F00D4" w:rsidRDefault="004C3B8D" w:rsidP="0061451C">
      <w:pPr>
        <w:pStyle w:val="aa"/>
        <w:spacing w:before="120"/>
        <w:ind w:left="0" w:firstLine="360"/>
        <w:jc w:val="both"/>
        <w:outlineLvl w:val="0"/>
        <w:rPr>
          <w:szCs w:val="24"/>
        </w:rPr>
      </w:pPr>
      <w:r w:rsidRPr="002F00D4">
        <w:rPr>
          <w:szCs w:val="24"/>
        </w:rPr>
        <w:t>Прилага документ за упълномощаване, когато лицето, което подава офертата не е законният представител на участника.</w:t>
      </w:r>
    </w:p>
    <w:p w14:paraId="6A4BFEFE" w14:textId="77777777" w:rsidR="004C3B8D" w:rsidRPr="002F00D4" w:rsidRDefault="004C3B8D" w:rsidP="0061451C">
      <w:pPr>
        <w:pStyle w:val="aa"/>
        <w:spacing w:before="120"/>
        <w:ind w:left="0" w:firstLine="360"/>
        <w:jc w:val="both"/>
        <w:outlineLvl w:val="0"/>
        <w:rPr>
          <w:szCs w:val="24"/>
        </w:rPr>
      </w:pPr>
      <w:r w:rsidRPr="002F00D4">
        <w:rPr>
          <w:szCs w:val="24"/>
        </w:rPr>
        <w:t>Може да се приложи декларация за конфиденциалност в случай на приложимост – по образец на участника.</w:t>
      </w:r>
    </w:p>
    <w:p w14:paraId="207937CF" w14:textId="77777777" w:rsidR="004C3B8D" w:rsidRPr="002F00D4" w:rsidRDefault="004C3B8D" w:rsidP="004C3B8D">
      <w:pPr>
        <w:pStyle w:val="aa"/>
        <w:spacing w:before="120"/>
        <w:ind w:left="0"/>
        <w:outlineLvl w:val="0"/>
        <w:rPr>
          <w:szCs w:val="24"/>
        </w:rPr>
      </w:pPr>
    </w:p>
    <w:p w14:paraId="655EC38F" w14:textId="21D4D1E5" w:rsidR="004C3B8D" w:rsidRPr="002F00D4" w:rsidRDefault="004C3B8D" w:rsidP="0061451C">
      <w:pPr>
        <w:pStyle w:val="aa"/>
        <w:numPr>
          <w:ilvl w:val="1"/>
          <w:numId w:val="7"/>
        </w:numPr>
        <w:tabs>
          <w:tab w:val="left" w:pos="426"/>
        </w:tabs>
        <w:spacing w:before="120" w:line="276" w:lineRule="exact"/>
        <w:ind w:left="0" w:firstLine="0"/>
        <w:jc w:val="both"/>
        <w:outlineLvl w:val="0"/>
        <w:rPr>
          <w:rStyle w:val="81"/>
          <w:b/>
          <w:sz w:val="24"/>
          <w:szCs w:val="22"/>
          <w:u w:val="single"/>
          <w:shd w:val="clear" w:color="auto" w:fill="auto"/>
        </w:rPr>
      </w:pPr>
      <w:r w:rsidRPr="002F00D4">
        <w:rPr>
          <w:b/>
          <w:szCs w:val="24"/>
          <w:u w:val="single"/>
        </w:rPr>
        <w:t xml:space="preserve"> Ценово предложение – Образец № 3</w:t>
      </w:r>
      <w:r w:rsidR="00156D6B" w:rsidRPr="002F00D4">
        <w:rPr>
          <w:rStyle w:val="81"/>
          <w:sz w:val="24"/>
          <w:szCs w:val="24"/>
        </w:rPr>
        <w:t>.</w:t>
      </w:r>
    </w:p>
    <w:p w14:paraId="7F81359A" w14:textId="77777777" w:rsidR="00156D6B" w:rsidRPr="002F00D4" w:rsidRDefault="00156D6B" w:rsidP="00156D6B">
      <w:pPr>
        <w:pStyle w:val="10"/>
        <w:tabs>
          <w:tab w:val="left" w:pos="567"/>
        </w:tabs>
        <w:spacing w:line="240" w:lineRule="auto"/>
        <w:ind w:right="23" w:firstLine="0"/>
        <w:rPr>
          <w:rStyle w:val="81"/>
          <w:sz w:val="24"/>
          <w:szCs w:val="24"/>
          <w:lang w:val="bg-BG"/>
        </w:rPr>
      </w:pPr>
      <w:r w:rsidRPr="002F00D4">
        <w:rPr>
          <w:rStyle w:val="81"/>
          <w:sz w:val="24"/>
          <w:szCs w:val="24"/>
          <w:lang w:val="bg-BG"/>
        </w:rPr>
        <w:t xml:space="preserve">Цената за изпълнение се предлага в български лева, до втория знак след десетичната запетая и не може да е по-малка от 0,01 лв. </w:t>
      </w:r>
    </w:p>
    <w:p w14:paraId="1AF245A4" w14:textId="77777777" w:rsidR="000D1F1D" w:rsidRPr="002F00D4" w:rsidRDefault="004C3B8D" w:rsidP="0061451C">
      <w:pPr>
        <w:pStyle w:val="ac"/>
        <w:tabs>
          <w:tab w:val="left" w:pos="1311"/>
        </w:tabs>
        <w:spacing w:line="276" w:lineRule="exact"/>
        <w:jc w:val="both"/>
        <w:rPr>
          <w:lang w:val="bg-BG"/>
        </w:rPr>
      </w:pPr>
      <w:r w:rsidRPr="002F00D4">
        <w:rPr>
          <w:lang w:val="bg-BG"/>
        </w:rPr>
        <w:t>Декларира се съгласие с условията на поръчката и тяхното приемане без условия.</w:t>
      </w:r>
    </w:p>
    <w:p w14:paraId="5B665F3F" w14:textId="77777777" w:rsidR="004C3B8D" w:rsidRPr="002F00D4" w:rsidRDefault="000D1F1D" w:rsidP="0061451C">
      <w:pPr>
        <w:pStyle w:val="ac"/>
        <w:tabs>
          <w:tab w:val="left" w:pos="1311"/>
        </w:tabs>
        <w:spacing w:line="276" w:lineRule="exact"/>
        <w:jc w:val="both"/>
        <w:rPr>
          <w:lang w:val="bg-BG"/>
        </w:rPr>
      </w:pPr>
      <w:r w:rsidRPr="002F00D4">
        <w:rPr>
          <w:lang w:val="bg-BG"/>
        </w:rPr>
        <w:t>Участникът предлага цена за изпълнение на обществената поръчка.</w:t>
      </w:r>
    </w:p>
    <w:p w14:paraId="7056F256" w14:textId="77777777" w:rsidR="002F00D4" w:rsidRPr="002F00D4" w:rsidRDefault="002F00D4" w:rsidP="002F00D4">
      <w:pPr>
        <w:pStyle w:val="aa"/>
        <w:spacing w:before="120"/>
        <w:ind w:left="0"/>
        <w:jc w:val="both"/>
        <w:outlineLvl w:val="0"/>
        <w:rPr>
          <w:szCs w:val="24"/>
        </w:rPr>
      </w:pPr>
      <w:r w:rsidRPr="002F00D4">
        <w:rPr>
          <w:szCs w:val="24"/>
        </w:rPr>
        <w:t>„</w:t>
      </w:r>
      <w:proofErr w:type="spellStart"/>
      <w:r w:rsidRPr="002F00D4">
        <w:rPr>
          <w:szCs w:val="24"/>
        </w:rPr>
        <w:t>Машиносмяна</w:t>
      </w:r>
      <w:proofErr w:type="spellEnd"/>
      <w:r w:rsidRPr="002F00D4">
        <w:rPr>
          <w:szCs w:val="24"/>
        </w:rPr>
        <w:t>“ за булдозер, фадрома и багер е 8 (осем) часа непрекъсната работа по изпълнение на дейностите на настоящата поръчка. Разходите за транспортиране на техниката, обслужване и всички други разходи се калкулират в цената за машиносмяна и не са за сметка на времето за извършване на дейността по обществената поръчка.</w:t>
      </w:r>
    </w:p>
    <w:p w14:paraId="4255312D" w14:textId="77777777" w:rsidR="002F00D4" w:rsidRPr="002F00D4" w:rsidRDefault="002F00D4" w:rsidP="002F00D4">
      <w:pPr>
        <w:pStyle w:val="aa"/>
        <w:spacing w:before="120"/>
        <w:ind w:left="0"/>
        <w:jc w:val="both"/>
        <w:outlineLvl w:val="0"/>
        <w:rPr>
          <w:szCs w:val="24"/>
        </w:rPr>
      </w:pPr>
      <w:r w:rsidRPr="002F00D4">
        <w:rPr>
          <w:szCs w:val="24"/>
        </w:rPr>
        <w:t>„</w:t>
      </w:r>
      <w:proofErr w:type="spellStart"/>
      <w:r w:rsidRPr="002F00D4">
        <w:rPr>
          <w:szCs w:val="24"/>
        </w:rPr>
        <w:t>Машиносмяна</w:t>
      </w:r>
      <w:proofErr w:type="spellEnd"/>
      <w:r w:rsidRPr="002F00D4">
        <w:rPr>
          <w:szCs w:val="24"/>
        </w:rPr>
        <w:t>“ за самосвал е 8 (осем) часа непрекъсната работа по изпълнение на дейностите на настоящата поръчка, в т.ч. натоварване, разтоварване и транспортна отпадъци или почва. Разходите за транспорт на „празен ход“, обслужване и всички други разходи се калкулират в цената за машиносмяна и не са за сметка на времето за извършване на дейността по обществената поръчка.</w:t>
      </w:r>
    </w:p>
    <w:p w14:paraId="4160A317" w14:textId="77777777" w:rsidR="000D1F1D" w:rsidRPr="002F00D4" w:rsidRDefault="000D1F1D" w:rsidP="003C238E">
      <w:pPr>
        <w:pStyle w:val="aa"/>
        <w:spacing w:before="120"/>
        <w:ind w:left="0"/>
        <w:jc w:val="both"/>
        <w:outlineLvl w:val="0"/>
        <w:rPr>
          <w:szCs w:val="24"/>
        </w:rPr>
      </w:pPr>
      <w:r w:rsidRPr="002F00D4">
        <w:rPr>
          <w:szCs w:val="24"/>
        </w:rPr>
        <w:t>При допусната аритметична грешка участникът се отстранява.</w:t>
      </w:r>
    </w:p>
    <w:p w14:paraId="335D8512" w14:textId="77777777" w:rsidR="000D1F1D" w:rsidRPr="002F00D4" w:rsidRDefault="000D1F1D" w:rsidP="003C238E">
      <w:pPr>
        <w:pStyle w:val="aa"/>
        <w:spacing w:before="120"/>
        <w:ind w:left="0"/>
        <w:jc w:val="both"/>
        <w:outlineLvl w:val="0"/>
        <w:rPr>
          <w:szCs w:val="24"/>
        </w:rPr>
      </w:pPr>
      <w:r w:rsidRPr="002F00D4">
        <w:rPr>
          <w:szCs w:val="24"/>
        </w:rPr>
        <w:t>При несъответствие между цифровата и изписаната с думи цена ще се приема за вярна изписаната с думи.</w:t>
      </w:r>
    </w:p>
    <w:p w14:paraId="25C6C39B" w14:textId="77777777" w:rsidR="000D1F1D" w:rsidRPr="00006479" w:rsidRDefault="000D1F1D" w:rsidP="003C238E">
      <w:pPr>
        <w:pStyle w:val="aa"/>
        <w:spacing w:before="120"/>
        <w:ind w:left="0"/>
        <w:jc w:val="both"/>
        <w:outlineLvl w:val="0"/>
        <w:rPr>
          <w:color w:val="FF0000"/>
          <w:szCs w:val="24"/>
        </w:rPr>
      </w:pPr>
      <w:r w:rsidRPr="002F00D4">
        <w:rPr>
          <w:szCs w:val="24"/>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14:paraId="554AD066" w14:textId="77777777" w:rsidR="000D1F1D" w:rsidRPr="00006479" w:rsidRDefault="000D1F1D" w:rsidP="003C238E">
      <w:pPr>
        <w:pStyle w:val="ac"/>
        <w:tabs>
          <w:tab w:val="left" w:pos="1311"/>
        </w:tabs>
        <w:spacing w:after="0"/>
        <w:jc w:val="both"/>
        <w:rPr>
          <w:color w:val="FF0000"/>
          <w:lang w:val="bg-BG"/>
        </w:rPr>
      </w:pPr>
    </w:p>
    <w:p w14:paraId="3229B0A6" w14:textId="77777777" w:rsidR="00156D6B" w:rsidRPr="006C488E" w:rsidRDefault="00156D6B" w:rsidP="00156D6B">
      <w:pPr>
        <w:pStyle w:val="ac"/>
        <w:numPr>
          <w:ilvl w:val="1"/>
          <w:numId w:val="7"/>
        </w:numPr>
        <w:tabs>
          <w:tab w:val="left" w:pos="426"/>
        </w:tabs>
        <w:spacing w:after="0"/>
        <w:ind w:left="284" w:hanging="284"/>
        <w:jc w:val="both"/>
        <w:rPr>
          <w:b/>
          <w:lang w:val="bg-BG"/>
        </w:rPr>
      </w:pPr>
      <w:r w:rsidRPr="006C488E">
        <w:rPr>
          <w:b/>
          <w:lang w:val="bg-BG"/>
        </w:rPr>
        <w:t>Договор за възлагане на обществена поръчка.</w:t>
      </w:r>
    </w:p>
    <w:p w14:paraId="046A90BF" w14:textId="77777777" w:rsidR="00156D6B" w:rsidRPr="006C488E" w:rsidRDefault="00156D6B" w:rsidP="00156D6B">
      <w:pPr>
        <w:pStyle w:val="aa"/>
        <w:tabs>
          <w:tab w:val="left" w:pos="567"/>
        </w:tabs>
        <w:spacing w:before="120" w:line="276" w:lineRule="exact"/>
        <w:ind w:left="0"/>
        <w:jc w:val="both"/>
        <w:outlineLvl w:val="0"/>
        <w:rPr>
          <w:szCs w:val="24"/>
        </w:rPr>
      </w:pPr>
      <w:r w:rsidRPr="006C488E">
        <w:rPr>
          <w:szCs w:val="24"/>
        </w:rPr>
        <w:t>За всяка обособена позиция се подписва договор за възлагане на обществена поръчка с избрания Изпълнител. Текстовете, представени в [</w:t>
      </w:r>
      <w:r w:rsidRPr="006C488E">
        <w:rPr>
          <w:i/>
          <w:szCs w:val="24"/>
        </w:rPr>
        <w:t>квадратни скоби и наклонен шрифт в черен цвят</w:t>
      </w:r>
      <w:r w:rsidRPr="006C488E">
        <w:rPr>
          <w:szCs w:val="24"/>
        </w:rPr>
        <w:t xml:space="preserve">], обозначават случаи, в които трябва да бъдат попълнени конкретни </w:t>
      </w:r>
      <w:r w:rsidRPr="006C488E">
        <w:rPr>
          <w:szCs w:val="24"/>
        </w:rPr>
        <w:lastRenderedPageBreak/>
        <w:t>данни. Текстовете, представени в [</w:t>
      </w:r>
      <w:r w:rsidRPr="006C488E">
        <w:rPr>
          <w:i/>
          <w:szCs w:val="24"/>
        </w:rPr>
        <w:t>квадратни скоби и наклонен шрифт в червен цвят</w:t>
      </w:r>
      <w:r w:rsidRPr="006C488E">
        <w:rPr>
          <w:szCs w:val="24"/>
        </w:rPr>
        <w:t>], обозначават пояснения или указания.</w:t>
      </w:r>
    </w:p>
    <w:p w14:paraId="073FAAF5" w14:textId="77777777" w:rsidR="00156D6B" w:rsidRPr="006C488E" w:rsidRDefault="00156D6B" w:rsidP="00156D6B">
      <w:pPr>
        <w:pStyle w:val="aa"/>
        <w:tabs>
          <w:tab w:val="left" w:pos="567"/>
        </w:tabs>
        <w:spacing w:before="120" w:line="276" w:lineRule="exact"/>
        <w:ind w:left="0"/>
        <w:jc w:val="both"/>
        <w:outlineLvl w:val="0"/>
        <w:rPr>
          <w:szCs w:val="24"/>
        </w:rPr>
      </w:pPr>
      <w:r w:rsidRPr="006C488E">
        <w:rPr>
          <w:szCs w:val="24"/>
        </w:rPr>
        <w:tab/>
        <w:t>Преди подписване на договора избраният изпълнител, представя:</w:t>
      </w:r>
    </w:p>
    <w:p w14:paraId="308E3BFE" w14:textId="77777777" w:rsidR="00156D6B" w:rsidRPr="006C488E" w:rsidRDefault="00156D6B" w:rsidP="00156D6B">
      <w:pPr>
        <w:pStyle w:val="aa"/>
        <w:numPr>
          <w:ilvl w:val="0"/>
          <w:numId w:val="8"/>
        </w:numPr>
        <w:spacing w:before="120" w:line="276" w:lineRule="exact"/>
        <w:ind w:left="0" w:firstLine="567"/>
        <w:jc w:val="both"/>
        <w:outlineLvl w:val="0"/>
        <w:rPr>
          <w:szCs w:val="24"/>
        </w:rPr>
      </w:pPr>
      <w:r w:rsidRPr="006C488E">
        <w:rPr>
          <w:szCs w:val="24"/>
        </w:rPr>
        <w:t xml:space="preserve"> 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14:paraId="5BA04195" w14:textId="77777777" w:rsidR="00156D6B" w:rsidRPr="006C488E" w:rsidRDefault="00156D6B" w:rsidP="00156D6B">
      <w:pPr>
        <w:pStyle w:val="aa"/>
        <w:numPr>
          <w:ilvl w:val="0"/>
          <w:numId w:val="8"/>
        </w:numPr>
        <w:tabs>
          <w:tab w:val="left" w:pos="0"/>
        </w:tabs>
        <w:spacing w:before="120" w:line="276" w:lineRule="exact"/>
        <w:ind w:left="0" w:firstLine="567"/>
        <w:jc w:val="both"/>
        <w:outlineLvl w:val="0"/>
        <w:rPr>
          <w:szCs w:val="24"/>
        </w:rPr>
      </w:pPr>
      <w:r w:rsidRPr="006C488E">
        <w:rPr>
          <w:szCs w:val="24"/>
        </w:rPr>
        <w:t xml:space="preserve">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14:paraId="2E00E7D1" w14:textId="77777777" w:rsidR="00156D6B" w:rsidRPr="006C488E" w:rsidRDefault="00156D6B" w:rsidP="00156D6B">
      <w:pPr>
        <w:pStyle w:val="aa"/>
        <w:tabs>
          <w:tab w:val="left" w:pos="0"/>
        </w:tabs>
        <w:spacing w:before="120" w:line="276" w:lineRule="exact"/>
        <w:ind w:left="0" w:firstLine="567"/>
        <w:jc w:val="both"/>
        <w:outlineLvl w:val="0"/>
        <w:rPr>
          <w:szCs w:val="24"/>
        </w:rPr>
      </w:pPr>
      <w:r w:rsidRPr="006C488E">
        <w:rPr>
          <w:szCs w:val="24"/>
        </w:rPr>
        <w:t>За доказване на липсата на основания за отстраняване се представят документите по чл.</w:t>
      </w:r>
      <w:r w:rsidR="0061451C" w:rsidRPr="006C488E">
        <w:rPr>
          <w:szCs w:val="24"/>
        </w:rPr>
        <w:t xml:space="preserve"> </w:t>
      </w:r>
      <w:r w:rsidRPr="006C488E">
        <w:rPr>
          <w:szCs w:val="24"/>
        </w:rPr>
        <w:t>58, ал.</w:t>
      </w:r>
      <w:r w:rsidR="0061451C" w:rsidRPr="006C488E">
        <w:rPr>
          <w:szCs w:val="24"/>
        </w:rPr>
        <w:t xml:space="preserve"> </w:t>
      </w:r>
      <w:r w:rsidRPr="006C488E">
        <w:rPr>
          <w:szCs w:val="24"/>
        </w:rPr>
        <w:t>1</w:t>
      </w:r>
      <w:r w:rsidR="0061451C" w:rsidRPr="006C488E">
        <w:rPr>
          <w:szCs w:val="24"/>
        </w:rPr>
        <w:t>, т. 1, 2 и 3</w:t>
      </w:r>
      <w:r w:rsidRPr="006C488E">
        <w:rPr>
          <w:szCs w:val="24"/>
        </w:rPr>
        <w:t xml:space="preserve"> от ЗОП при условията на чл.</w:t>
      </w:r>
      <w:r w:rsidR="0061451C" w:rsidRPr="006C488E">
        <w:rPr>
          <w:szCs w:val="24"/>
        </w:rPr>
        <w:t xml:space="preserve"> </w:t>
      </w:r>
      <w:r w:rsidRPr="006C488E">
        <w:rPr>
          <w:szCs w:val="24"/>
        </w:rPr>
        <w:t>67, ал.</w:t>
      </w:r>
      <w:r w:rsidR="0061451C" w:rsidRPr="006C488E">
        <w:rPr>
          <w:szCs w:val="24"/>
        </w:rPr>
        <w:t xml:space="preserve"> </w:t>
      </w:r>
      <w:r w:rsidRPr="006C488E">
        <w:rPr>
          <w:szCs w:val="24"/>
        </w:rPr>
        <w:t>8 от ЗОП.</w:t>
      </w:r>
    </w:p>
    <w:p w14:paraId="73CA0BF9" w14:textId="77777777" w:rsidR="00B85786" w:rsidRPr="006C488E" w:rsidRDefault="00156D6B" w:rsidP="00B85786">
      <w:pPr>
        <w:pStyle w:val="aa"/>
        <w:numPr>
          <w:ilvl w:val="0"/>
          <w:numId w:val="8"/>
        </w:numPr>
        <w:spacing w:before="120" w:line="276" w:lineRule="exact"/>
        <w:ind w:left="0" w:firstLine="567"/>
        <w:jc w:val="both"/>
        <w:outlineLvl w:val="0"/>
        <w:rPr>
          <w:szCs w:val="24"/>
        </w:rPr>
      </w:pPr>
      <w:r w:rsidRPr="006C488E">
        <w:rPr>
          <w:szCs w:val="24"/>
        </w:rPr>
        <w:t>Гаранция за изпълнение на договора в размер на 5 % (</w:t>
      </w:r>
      <w:r w:rsidRPr="006C488E">
        <w:rPr>
          <w:i/>
          <w:szCs w:val="24"/>
        </w:rPr>
        <w:t>пет на сто</w:t>
      </w:r>
      <w:r w:rsidRPr="006C488E">
        <w:rPr>
          <w:szCs w:val="24"/>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14:paraId="293A4180" w14:textId="77777777" w:rsidR="00B85786" w:rsidRPr="006C488E" w:rsidRDefault="00B85786" w:rsidP="00B85786">
      <w:pPr>
        <w:pStyle w:val="aa"/>
        <w:numPr>
          <w:ilvl w:val="0"/>
          <w:numId w:val="8"/>
        </w:numPr>
        <w:spacing w:before="120" w:line="276" w:lineRule="exact"/>
        <w:ind w:left="0" w:firstLine="567"/>
        <w:jc w:val="both"/>
        <w:outlineLvl w:val="0"/>
        <w:rPr>
          <w:szCs w:val="24"/>
        </w:rPr>
      </w:pPr>
      <w:r w:rsidRPr="006C488E">
        <w:rPr>
          <w:szCs w:val="24"/>
        </w:rPr>
        <w:t xml:space="preserve">Декларация по чл. 59, ал. </w:t>
      </w:r>
      <w:r w:rsidR="00182984" w:rsidRPr="006C488E">
        <w:rPr>
          <w:szCs w:val="24"/>
        </w:rPr>
        <w:t>1, т. 3</w:t>
      </w:r>
      <w:r w:rsidRPr="006C488E">
        <w:rPr>
          <w:szCs w:val="24"/>
        </w:rPr>
        <w:t xml:space="preserve"> от ЗМИП – Образец 4</w:t>
      </w:r>
    </w:p>
    <w:sectPr w:rsidR="00B85786" w:rsidRPr="006C488E" w:rsidSect="000A5298">
      <w:footerReference w:type="default" r:id="rId12"/>
      <w:headerReference w:type="first" r:id="rId13"/>
      <w:footerReference w:type="first" r:id="rId14"/>
      <w:pgSz w:w="11906" w:h="16838" w:code="9"/>
      <w:pgMar w:top="96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6D137" w14:textId="77777777" w:rsidR="00112B0E" w:rsidRDefault="00112B0E" w:rsidP="002D0C2E">
      <w:r>
        <w:separator/>
      </w:r>
    </w:p>
  </w:endnote>
  <w:endnote w:type="continuationSeparator" w:id="0">
    <w:p w14:paraId="47D1192D" w14:textId="77777777" w:rsidR="00112B0E" w:rsidRDefault="00112B0E"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84920"/>
      <w:docPartObj>
        <w:docPartGallery w:val="Page Numbers (Bottom of Page)"/>
        <w:docPartUnique/>
      </w:docPartObj>
    </w:sdtPr>
    <w:sdtEndPr>
      <w:rPr>
        <w:sz w:val="18"/>
        <w:szCs w:val="18"/>
      </w:rPr>
    </w:sdtEndPr>
    <w:sdtContent>
      <w:p w14:paraId="2B27A3E4" w14:textId="36E190F6" w:rsidR="002E225C" w:rsidRPr="002E225C" w:rsidRDefault="002E225C">
        <w:pPr>
          <w:pStyle w:val="a5"/>
          <w:jc w:val="center"/>
          <w:rPr>
            <w:sz w:val="18"/>
            <w:szCs w:val="18"/>
          </w:rPr>
        </w:pPr>
        <w:r w:rsidRPr="002E225C">
          <w:rPr>
            <w:sz w:val="18"/>
            <w:szCs w:val="18"/>
          </w:rPr>
          <w:fldChar w:fldCharType="begin"/>
        </w:r>
        <w:r w:rsidRPr="002E225C">
          <w:rPr>
            <w:sz w:val="18"/>
            <w:szCs w:val="18"/>
          </w:rPr>
          <w:instrText>PAGE   \* MERGEFORMAT</w:instrText>
        </w:r>
        <w:r w:rsidRPr="002E225C">
          <w:rPr>
            <w:sz w:val="18"/>
            <w:szCs w:val="18"/>
          </w:rPr>
          <w:fldChar w:fldCharType="separate"/>
        </w:r>
        <w:r w:rsidR="0023622B">
          <w:rPr>
            <w:noProof/>
            <w:sz w:val="18"/>
            <w:szCs w:val="18"/>
          </w:rPr>
          <w:t>7</w:t>
        </w:r>
        <w:r w:rsidRPr="002E225C">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401791"/>
      <w:docPartObj>
        <w:docPartGallery w:val="Page Numbers (Bottom of Page)"/>
        <w:docPartUnique/>
      </w:docPartObj>
    </w:sdtPr>
    <w:sdtEndPr>
      <w:rPr>
        <w:sz w:val="20"/>
        <w:szCs w:val="20"/>
      </w:rPr>
    </w:sdtEndPr>
    <w:sdtContent>
      <w:p w14:paraId="6E6F39E8" w14:textId="6AA89AF3" w:rsidR="00D9531A" w:rsidRPr="00D9531A" w:rsidRDefault="00D9531A">
        <w:pPr>
          <w:pStyle w:val="a5"/>
          <w:jc w:val="center"/>
          <w:rPr>
            <w:sz w:val="20"/>
            <w:szCs w:val="20"/>
          </w:rPr>
        </w:pPr>
        <w:r w:rsidRPr="00D9531A">
          <w:rPr>
            <w:sz w:val="20"/>
            <w:szCs w:val="20"/>
          </w:rPr>
          <w:fldChar w:fldCharType="begin"/>
        </w:r>
        <w:r w:rsidRPr="00D9531A">
          <w:rPr>
            <w:sz w:val="20"/>
            <w:szCs w:val="20"/>
          </w:rPr>
          <w:instrText>PAGE   \* MERGEFORMAT</w:instrText>
        </w:r>
        <w:r w:rsidRPr="00D9531A">
          <w:rPr>
            <w:sz w:val="20"/>
            <w:szCs w:val="20"/>
          </w:rPr>
          <w:fldChar w:fldCharType="separate"/>
        </w:r>
        <w:r w:rsidR="00BA590B">
          <w:rPr>
            <w:noProof/>
            <w:sz w:val="20"/>
            <w:szCs w:val="20"/>
          </w:rPr>
          <w:t>1</w:t>
        </w:r>
        <w:r w:rsidRPr="00D9531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30BC0" w14:textId="77777777" w:rsidR="00112B0E" w:rsidRDefault="00112B0E" w:rsidP="002D0C2E">
      <w:r>
        <w:separator/>
      </w:r>
    </w:p>
  </w:footnote>
  <w:footnote w:type="continuationSeparator" w:id="0">
    <w:p w14:paraId="23DCC1A8" w14:textId="77777777" w:rsidR="00112B0E" w:rsidRDefault="00112B0E"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4FBDE" w14:textId="77777777" w:rsidR="000A5298" w:rsidRDefault="000A5298"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03615D39" wp14:editId="4942156B">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73C8F2E" wp14:editId="394D7B01">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6C749E0B" wp14:editId="50DFED2D">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1BEA8"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hz8QEAAJADAAAOAAAAZHJzL2Uyb0RvYy54bWysU81uEzEQviPxDpbvZDeBhmqVTQ8p5VIg&#10;UssDOLY3a2F7LNvJJje48hK8AkKtxKU8w+aNGDs/FLgh9mCPPfN9nvlmdnKxMZqspQ8KbE2Hg5IS&#10;aTkIZZc1fX979eyckhCZFUyDlTXdykAvpk+fTDpXyRG0oIX0BElsqDpX0zZGVxVF4K00LAzASYvO&#10;BrxhEY9+WQjPOmQ3uhiV5bjowAvngcsQ8PZy76TTzN80ksd3TRNkJLqmmFvMq8/rIq3FdMKqpWeu&#10;VfyQBvuHLAxTFh89UV2yyMjKq7+ojOIeAjRxwMEU0DSKy1wDVjMs/6jmpmVO5lpQnOBOMoX/R8vf&#10;rueeKFHTMSWWGWxR/2X3sf/af+t/kN2n3ef+vr/rv/cPuD/gfk/GSbTOhQqxMzv3qWy+sTfuGviH&#10;QCzMWmaXMid/u3XIOEyI4jdIOgSHTy+6NyAwhq0iZAU3jTeJErUhm9yo7alRchMJx8sXo+ej0csz&#10;SvjRV7DqCHQ+xNcSDElGTbWySUNWsfV1iCkRVh1D0rWFK6V1ngNtSVfTs/K8xFHhxqEq0asMDqCV&#10;SIEJEvxyMdOerFmaqvzlCtHzOMzDyopM3EomXh3syJTe25iItgdhkhZ7VRcgtnN/FAzbnjM+jGia&#10;q8fnjP71I01/AgAA//8DAFBLAwQUAAYACAAAACEAja1Xg90AAAAJAQAADwAAAGRycy9kb3ducmV2&#10;LnhtbEyPQU/DMAyF70j8h8hI3Fi60rKtNJ0mJE5cxoCJo9eaptAkVZJ15d9jtAMcn/38/L1yPZle&#10;jORD56yC+SwBQbZ2TWdbBa8vjzdLECGibbB3lhR8U4B1dXlRYtG4k32mcRdbwSE2FKhAxzgUUoZa&#10;k8EwcwNZ3n04bzCy9K1sPJ443PQyTZI7abCz/EHjQA+a6q/d0TDGJy3b/H3M/Nt2+7Ta7DXeTlqp&#10;66tpcw8i0hT/zPCLzzdQMdPBHW0TRM86zXO2KsiyOQg2LFYplzucB7Iq5f8G1Q8AAAD//wMAUEsB&#10;Ai0AFAAGAAgAAAAhALaDOJL+AAAA4QEAABMAAAAAAAAAAAAAAAAAAAAAAFtDb250ZW50X1R5cGVz&#10;XS54bWxQSwECLQAUAAYACAAAACEAOP0h/9YAAACUAQAACwAAAAAAAAAAAAAAAAAvAQAAX3JlbHMv&#10;LnJlbHNQSwECLQAUAAYACAAAACEAl6GIc/EBAACQAwAADgAAAAAAAAAAAAAAAAAuAgAAZHJzL2Uy&#10;b0RvYy54bWxQSwECLQAUAAYACAAAACEAja1Xg90AAAAJAQAADwAAAAAAAAAAAAAAAABLBAAAZHJz&#10;L2Rvd25yZXYueG1sUEsFBgAAAAAEAAQA8wAAAFUFAAAAAA==&#10;" strokeweight="4pt">
              <v:stroke linestyle="thickBetweenThin"/>
            </v:line>
          </w:pict>
        </mc:Fallback>
      </mc:AlternateContent>
    </w:r>
    <w:r w:rsidR="00112B0E">
      <w:rPr>
        <w:rFonts w:ascii="Arial Narrow" w:hAnsi="Arial Narrow" w:cs="Arial"/>
        <w:noProof/>
      </w:rPr>
      <w:pict w14:anchorId="399AC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14:paraId="79BF386E" w14:textId="77777777" w:rsidR="000A5298" w:rsidRPr="009E4EDF" w:rsidRDefault="000A5298"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14:paraId="37E4CA6C" w14:textId="77777777" w:rsidR="000A5298" w:rsidRPr="009E4EDF" w:rsidRDefault="000A5298" w:rsidP="000A5298">
    <w:pPr>
      <w:jc w:val="center"/>
      <w:rPr>
        <w:rFonts w:ascii="Arial Narrow" w:hAnsi="Arial Narrow" w:cs="Arial"/>
        <w:b/>
        <w:i/>
      </w:rPr>
    </w:pPr>
    <w:r w:rsidRPr="009E4EDF">
      <w:rPr>
        <w:rFonts w:ascii="Arial Narrow" w:hAnsi="Arial Narrow" w:cs="Arial"/>
        <w:b/>
        <w:i/>
      </w:rPr>
      <w:t xml:space="preserve"> e-mail: </w:t>
    </w:r>
    <w:hyperlink r:id="rId3" w:history="1">
      <w:r w:rsidRPr="009E4EDF">
        <w:rPr>
          <w:rStyle w:val="a7"/>
          <w:rFonts w:ascii="Arial Narrow" w:hAnsi="Arial Narrow" w:cs="Arial"/>
          <w:b/>
          <w:i/>
        </w:rPr>
        <w:t>obshtina</w:t>
      </w:r>
      <w:r w:rsidRPr="00A72A36">
        <w:rPr>
          <w:rStyle w:val="a7"/>
          <w:rFonts w:ascii="Arial Narrow" w:hAnsi="Arial Narrow" w:cs="Arial"/>
          <w:b/>
          <w:i/>
          <w:lang w:val="ru-RU"/>
        </w:rPr>
        <w:t>@</w:t>
      </w:r>
      <w:r w:rsidRPr="009E4EDF">
        <w:rPr>
          <w:rStyle w:val="a7"/>
          <w:rFonts w:ascii="Arial Narrow" w:hAnsi="Arial Narrow" w:cs="Arial"/>
          <w:b/>
          <w:i/>
        </w:rPr>
        <w:t>dobrichka</w:t>
      </w:r>
      <w:r w:rsidRPr="00A72A36">
        <w:rPr>
          <w:rStyle w:val="a7"/>
          <w:rFonts w:ascii="Arial Narrow" w:hAnsi="Arial Narrow" w:cs="Arial"/>
          <w:b/>
          <w:i/>
          <w:lang w:val="ru-RU"/>
        </w:rPr>
        <w:t>.</w:t>
      </w:r>
      <w:r w:rsidRPr="009E4EDF">
        <w:rPr>
          <w:rStyle w:val="a7"/>
          <w:rFonts w:ascii="Arial Narrow" w:hAnsi="Arial Narrow" w:cs="Arial"/>
          <w:b/>
          <w:i/>
        </w:rPr>
        <w:t>bg</w:t>
      </w:r>
    </w:hyperlink>
    <w:r w:rsidRPr="009E4EDF">
      <w:rPr>
        <w:rFonts w:ascii="Arial Narrow" w:hAnsi="Arial Narrow" w:cs="Arial"/>
        <w:b/>
        <w:i/>
      </w:rPr>
      <w:t xml:space="preserve">; web site: </w:t>
    </w:r>
    <w:hyperlink r:id="rId4" w:history="1">
      <w:r w:rsidRPr="009E4EDF">
        <w:rPr>
          <w:rStyle w:val="a7"/>
          <w:rFonts w:ascii="Arial Narrow" w:hAnsi="Arial Narrow" w:cs="Arial"/>
          <w:b/>
          <w:i/>
        </w:rPr>
        <w:t>www.dobrichka.bg</w:t>
      </w:r>
    </w:hyperlink>
  </w:p>
  <w:p w14:paraId="5F3671D1" w14:textId="77777777" w:rsidR="000A5298" w:rsidRDefault="000A5298"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29696459"/>
    <w:multiLevelType w:val="hybridMultilevel"/>
    <w:tmpl w:val="9DAC4BB8"/>
    <w:lvl w:ilvl="0" w:tplc="5B6EE3AA">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7E03A71"/>
    <w:multiLevelType w:val="multilevel"/>
    <w:tmpl w:val="B83E93E2"/>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8634C58"/>
    <w:multiLevelType w:val="hybridMultilevel"/>
    <w:tmpl w:val="3C342B1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5B686957"/>
    <w:multiLevelType w:val="multilevel"/>
    <w:tmpl w:val="F80A46E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644F6EAF"/>
    <w:multiLevelType w:val="hybridMultilevel"/>
    <w:tmpl w:val="197C250C"/>
    <w:lvl w:ilvl="0" w:tplc="5B6EE3AA">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6A131761"/>
    <w:multiLevelType w:val="multilevel"/>
    <w:tmpl w:val="A5426A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3C35E8D"/>
    <w:multiLevelType w:val="hybridMultilevel"/>
    <w:tmpl w:val="027A782A"/>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9">
    <w:nsid w:val="74815711"/>
    <w:multiLevelType w:val="hybridMultilevel"/>
    <w:tmpl w:val="4336F9CA"/>
    <w:lvl w:ilvl="0" w:tplc="5816BD9A">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0">
    <w:nsid w:val="78CE42C8"/>
    <w:multiLevelType w:val="multilevel"/>
    <w:tmpl w:val="B83E93E2"/>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5"/>
  </w:num>
  <w:num w:numId="5">
    <w:abstractNumId w:val="6"/>
  </w:num>
  <w:num w:numId="6">
    <w:abstractNumId w:val="10"/>
  </w:num>
  <w:num w:numId="7">
    <w:abstractNumId w:val="2"/>
  </w:num>
  <w:num w:numId="8">
    <w:abstractNumId w:val="1"/>
  </w:num>
  <w:num w:numId="9">
    <w:abstractNumId w:val="3"/>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06479"/>
    <w:rsid w:val="000549C8"/>
    <w:rsid w:val="000A505C"/>
    <w:rsid w:val="000A5298"/>
    <w:rsid w:val="000B49D8"/>
    <w:rsid w:val="000C5956"/>
    <w:rsid w:val="000D1F1D"/>
    <w:rsid w:val="000D393E"/>
    <w:rsid w:val="00105BF0"/>
    <w:rsid w:val="00112B0E"/>
    <w:rsid w:val="001532B7"/>
    <w:rsid w:val="00156D6B"/>
    <w:rsid w:val="0015704F"/>
    <w:rsid w:val="001815E6"/>
    <w:rsid w:val="00182984"/>
    <w:rsid w:val="00185563"/>
    <w:rsid w:val="0019278B"/>
    <w:rsid w:val="001F746A"/>
    <w:rsid w:val="0021740E"/>
    <w:rsid w:val="0023622B"/>
    <w:rsid w:val="00240615"/>
    <w:rsid w:val="00252DF7"/>
    <w:rsid w:val="002A086C"/>
    <w:rsid w:val="002B1AB4"/>
    <w:rsid w:val="002D0C2E"/>
    <w:rsid w:val="002E225C"/>
    <w:rsid w:val="002F00D4"/>
    <w:rsid w:val="002F50F7"/>
    <w:rsid w:val="0031171E"/>
    <w:rsid w:val="00335E02"/>
    <w:rsid w:val="003B1D5B"/>
    <w:rsid w:val="003C238E"/>
    <w:rsid w:val="003E3BB5"/>
    <w:rsid w:val="003F7A84"/>
    <w:rsid w:val="004315A7"/>
    <w:rsid w:val="00450126"/>
    <w:rsid w:val="004A5EAC"/>
    <w:rsid w:val="004C20FB"/>
    <w:rsid w:val="004C3B8D"/>
    <w:rsid w:val="004E3883"/>
    <w:rsid w:val="00536CFF"/>
    <w:rsid w:val="0054105B"/>
    <w:rsid w:val="00566863"/>
    <w:rsid w:val="005F070B"/>
    <w:rsid w:val="0061451C"/>
    <w:rsid w:val="00637DBB"/>
    <w:rsid w:val="00641F61"/>
    <w:rsid w:val="00656BDF"/>
    <w:rsid w:val="00677245"/>
    <w:rsid w:val="006C3C48"/>
    <w:rsid w:val="006C488E"/>
    <w:rsid w:val="007552CB"/>
    <w:rsid w:val="00755958"/>
    <w:rsid w:val="007E446A"/>
    <w:rsid w:val="007E51E7"/>
    <w:rsid w:val="008503A0"/>
    <w:rsid w:val="00865534"/>
    <w:rsid w:val="00867FC5"/>
    <w:rsid w:val="0089777C"/>
    <w:rsid w:val="008B0D4A"/>
    <w:rsid w:val="008C4912"/>
    <w:rsid w:val="008E2241"/>
    <w:rsid w:val="009103C3"/>
    <w:rsid w:val="00995A03"/>
    <w:rsid w:val="00A72A36"/>
    <w:rsid w:val="00AF0844"/>
    <w:rsid w:val="00B226DC"/>
    <w:rsid w:val="00B34E9D"/>
    <w:rsid w:val="00B45BAB"/>
    <w:rsid w:val="00B512C7"/>
    <w:rsid w:val="00B60329"/>
    <w:rsid w:val="00B61A40"/>
    <w:rsid w:val="00B85786"/>
    <w:rsid w:val="00B86DDA"/>
    <w:rsid w:val="00BA3FA5"/>
    <w:rsid w:val="00BA4CE1"/>
    <w:rsid w:val="00BA590B"/>
    <w:rsid w:val="00BC4635"/>
    <w:rsid w:val="00BF29D4"/>
    <w:rsid w:val="00C74C18"/>
    <w:rsid w:val="00CB479C"/>
    <w:rsid w:val="00CC1C84"/>
    <w:rsid w:val="00CF3ED9"/>
    <w:rsid w:val="00CF7CAA"/>
    <w:rsid w:val="00D059D6"/>
    <w:rsid w:val="00D15EB1"/>
    <w:rsid w:val="00D30D05"/>
    <w:rsid w:val="00D403E6"/>
    <w:rsid w:val="00D52800"/>
    <w:rsid w:val="00D6357F"/>
    <w:rsid w:val="00D9067A"/>
    <w:rsid w:val="00D93622"/>
    <w:rsid w:val="00D9531A"/>
    <w:rsid w:val="00DB2751"/>
    <w:rsid w:val="00DD0207"/>
    <w:rsid w:val="00DD1F4B"/>
    <w:rsid w:val="00DD6051"/>
    <w:rsid w:val="00DF3491"/>
    <w:rsid w:val="00E179E0"/>
    <w:rsid w:val="00E2733C"/>
    <w:rsid w:val="00E927F8"/>
    <w:rsid w:val="00EB4C23"/>
    <w:rsid w:val="00F03E1F"/>
    <w:rsid w:val="00F32FC7"/>
    <w:rsid w:val="00F35DF6"/>
    <w:rsid w:val="00F60001"/>
    <w:rsid w:val="00FD1666"/>
    <w:rsid w:val="00FE79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F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qFormat/>
    <w:rsid w:val="004C3B8D"/>
    <w:pPr>
      <w:spacing w:after="120"/>
    </w:pPr>
    <w:rPr>
      <w:rFonts w:eastAsia="Times New Roman" w:cs="Times New Roman"/>
      <w:szCs w:val="24"/>
      <w:lang w:val="x-none" w:eastAsia="x-none"/>
    </w:rPr>
  </w:style>
  <w:style w:type="character" w:customStyle="1" w:styleId="ad">
    <w:name w:val="Основен текст Знак"/>
    <w:basedOn w:val="a0"/>
    <w:link w:val="ac"/>
    <w:rsid w:val="004C3B8D"/>
    <w:rPr>
      <w:rFonts w:ascii="Times New Roman" w:eastAsia="Times New Roman" w:hAnsi="Times New Roman" w:cs="Times New Roman"/>
      <w:sz w:val="24"/>
      <w:szCs w:val="24"/>
      <w:lang w:val="x-none" w:eastAsia="x-none"/>
    </w:rPr>
  </w:style>
  <w:style w:type="paragraph" w:customStyle="1" w:styleId="Default">
    <w:name w:val="Default"/>
    <w:rsid w:val="004C3B8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FontStyle31">
    <w:name w:val="Font Style31"/>
    <w:rsid w:val="00B61A40"/>
    <w:rPr>
      <w:rFonts w:ascii="Times New Roman" w:hAnsi="Times New Roman" w:cs="Times New Roman"/>
      <w:sz w:val="22"/>
      <w:szCs w:val="22"/>
    </w:rPr>
  </w:style>
  <w:style w:type="paragraph" w:styleId="ae">
    <w:name w:val="Balloon Text"/>
    <w:basedOn w:val="a"/>
    <w:link w:val="af"/>
    <w:uiPriority w:val="99"/>
    <w:semiHidden/>
    <w:unhideWhenUsed/>
    <w:rsid w:val="008C4912"/>
    <w:rPr>
      <w:rFonts w:ascii="Tahoma" w:hAnsi="Tahoma" w:cs="Tahoma"/>
      <w:sz w:val="16"/>
      <w:szCs w:val="16"/>
    </w:rPr>
  </w:style>
  <w:style w:type="character" w:customStyle="1" w:styleId="af">
    <w:name w:val="Изнесен текст Знак"/>
    <w:basedOn w:val="a0"/>
    <w:link w:val="ae"/>
    <w:uiPriority w:val="99"/>
    <w:semiHidden/>
    <w:rsid w:val="008C4912"/>
    <w:rPr>
      <w:rFonts w:ascii="Tahoma" w:hAnsi="Tahoma" w:cs="Tahoma"/>
      <w:sz w:val="16"/>
      <w:szCs w:val="16"/>
    </w:rPr>
  </w:style>
  <w:style w:type="paragraph" w:styleId="af0">
    <w:name w:val="Plain Text"/>
    <w:basedOn w:val="a"/>
    <w:link w:val="af1"/>
    <w:uiPriority w:val="99"/>
    <w:rsid w:val="00637DBB"/>
    <w:rPr>
      <w:rFonts w:ascii="Courier New" w:eastAsia="Times New Roman" w:hAnsi="Courier New" w:cs="Times New Roman"/>
      <w:sz w:val="20"/>
      <w:szCs w:val="20"/>
      <w:lang w:val="x-none" w:eastAsia="x-none"/>
    </w:rPr>
  </w:style>
  <w:style w:type="character" w:customStyle="1" w:styleId="af1">
    <w:name w:val="Обикновен текст Знак"/>
    <w:basedOn w:val="a0"/>
    <w:link w:val="af0"/>
    <w:uiPriority w:val="99"/>
    <w:rsid w:val="00637DBB"/>
    <w:rPr>
      <w:rFonts w:ascii="Courier New" w:eastAsia="Times New Roman" w:hAnsi="Courier New" w:cs="Times New Roman"/>
      <w:sz w:val="20"/>
      <w:szCs w:val="20"/>
      <w:lang w:val="x-none" w:eastAsia="x-none"/>
    </w:rPr>
  </w:style>
  <w:style w:type="character" w:customStyle="1" w:styleId="81">
    <w:name w:val="Основен текст81"/>
    <w:rsid w:val="00637DBB"/>
    <w:rPr>
      <w:sz w:val="21"/>
      <w:szCs w:val="21"/>
      <w:shd w:val="clear" w:color="auto" w:fill="FFFFFF"/>
      <w:lang w:bidi="ar-SA"/>
    </w:rPr>
  </w:style>
  <w:style w:type="paragraph" w:customStyle="1" w:styleId="10">
    <w:name w:val="Основен текст1"/>
    <w:basedOn w:val="a"/>
    <w:link w:val="af2"/>
    <w:rsid w:val="00637DBB"/>
    <w:pPr>
      <w:spacing w:line="271" w:lineRule="auto"/>
      <w:ind w:firstLine="397"/>
      <w:jc w:val="both"/>
    </w:pPr>
    <w:rPr>
      <w:rFonts w:eastAsia="Times New Roman" w:cs="Times New Roman"/>
      <w:szCs w:val="24"/>
      <w:lang w:val="en-GB"/>
    </w:rPr>
  </w:style>
  <w:style w:type="character" w:customStyle="1" w:styleId="af2">
    <w:name w:val="Основен текст_"/>
    <w:link w:val="10"/>
    <w:rsid w:val="00637DBB"/>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qFormat/>
    <w:rsid w:val="004C3B8D"/>
    <w:pPr>
      <w:spacing w:after="120"/>
    </w:pPr>
    <w:rPr>
      <w:rFonts w:eastAsia="Times New Roman" w:cs="Times New Roman"/>
      <w:szCs w:val="24"/>
      <w:lang w:val="x-none" w:eastAsia="x-none"/>
    </w:rPr>
  </w:style>
  <w:style w:type="character" w:customStyle="1" w:styleId="ad">
    <w:name w:val="Основен текст Знак"/>
    <w:basedOn w:val="a0"/>
    <w:link w:val="ac"/>
    <w:rsid w:val="004C3B8D"/>
    <w:rPr>
      <w:rFonts w:ascii="Times New Roman" w:eastAsia="Times New Roman" w:hAnsi="Times New Roman" w:cs="Times New Roman"/>
      <w:sz w:val="24"/>
      <w:szCs w:val="24"/>
      <w:lang w:val="x-none" w:eastAsia="x-none"/>
    </w:rPr>
  </w:style>
  <w:style w:type="paragraph" w:customStyle="1" w:styleId="Default">
    <w:name w:val="Default"/>
    <w:rsid w:val="004C3B8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FontStyle31">
    <w:name w:val="Font Style31"/>
    <w:rsid w:val="00B61A40"/>
    <w:rPr>
      <w:rFonts w:ascii="Times New Roman" w:hAnsi="Times New Roman" w:cs="Times New Roman"/>
      <w:sz w:val="22"/>
      <w:szCs w:val="22"/>
    </w:rPr>
  </w:style>
  <w:style w:type="paragraph" w:styleId="ae">
    <w:name w:val="Balloon Text"/>
    <w:basedOn w:val="a"/>
    <w:link w:val="af"/>
    <w:uiPriority w:val="99"/>
    <w:semiHidden/>
    <w:unhideWhenUsed/>
    <w:rsid w:val="008C4912"/>
    <w:rPr>
      <w:rFonts w:ascii="Tahoma" w:hAnsi="Tahoma" w:cs="Tahoma"/>
      <w:sz w:val="16"/>
      <w:szCs w:val="16"/>
    </w:rPr>
  </w:style>
  <w:style w:type="character" w:customStyle="1" w:styleId="af">
    <w:name w:val="Изнесен текст Знак"/>
    <w:basedOn w:val="a0"/>
    <w:link w:val="ae"/>
    <w:uiPriority w:val="99"/>
    <w:semiHidden/>
    <w:rsid w:val="008C4912"/>
    <w:rPr>
      <w:rFonts w:ascii="Tahoma" w:hAnsi="Tahoma" w:cs="Tahoma"/>
      <w:sz w:val="16"/>
      <w:szCs w:val="16"/>
    </w:rPr>
  </w:style>
  <w:style w:type="paragraph" w:styleId="af0">
    <w:name w:val="Plain Text"/>
    <w:basedOn w:val="a"/>
    <w:link w:val="af1"/>
    <w:uiPriority w:val="99"/>
    <w:rsid w:val="00637DBB"/>
    <w:rPr>
      <w:rFonts w:ascii="Courier New" w:eastAsia="Times New Roman" w:hAnsi="Courier New" w:cs="Times New Roman"/>
      <w:sz w:val="20"/>
      <w:szCs w:val="20"/>
      <w:lang w:val="x-none" w:eastAsia="x-none"/>
    </w:rPr>
  </w:style>
  <w:style w:type="character" w:customStyle="1" w:styleId="af1">
    <w:name w:val="Обикновен текст Знак"/>
    <w:basedOn w:val="a0"/>
    <w:link w:val="af0"/>
    <w:uiPriority w:val="99"/>
    <w:rsid w:val="00637DBB"/>
    <w:rPr>
      <w:rFonts w:ascii="Courier New" w:eastAsia="Times New Roman" w:hAnsi="Courier New" w:cs="Times New Roman"/>
      <w:sz w:val="20"/>
      <w:szCs w:val="20"/>
      <w:lang w:val="x-none" w:eastAsia="x-none"/>
    </w:rPr>
  </w:style>
  <w:style w:type="character" w:customStyle="1" w:styleId="81">
    <w:name w:val="Основен текст81"/>
    <w:rsid w:val="00637DBB"/>
    <w:rPr>
      <w:sz w:val="21"/>
      <w:szCs w:val="21"/>
      <w:shd w:val="clear" w:color="auto" w:fill="FFFFFF"/>
      <w:lang w:bidi="ar-SA"/>
    </w:rPr>
  </w:style>
  <w:style w:type="paragraph" w:customStyle="1" w:styleId="10">
    <w:name w:val="Основен текст1"/>
    <w:basedOn w:val="a"/>
    <w:link w:val="af2"/>
    <w:rsid w:val="00637DBB"/>
    <w:pPr>
      <w:spacing w:line="271" w:lineRule="auto"/>
      <w:ind w:firstLine="397"/>
      <w:jc w:val="both"/>
    </w:pPr>
    <w:rPr>
      <w:rFonts w:eastAsia="Times New Roman" w:cs="Times New Roman"/>
      <w:szCs w:val="24"/>
      <w:lang w:val="en-GB"/>
    </w:rPr>
  </w:style>
  <w:style w:type="character" w:customStyle="1" w:styleId="af2">
    <w:name w:val="Основен текст_"/>
    <w:link w:val="10"/>
    <w:rsid w:val="00637DB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267390">
      <w:bodyDiv w:val="1"/>
      <w:marLeft w:val="390"/>
      <w:marRight w:val="390"/>
      <w:marTop w:val="0"/>
      <w:marBottom w:val="0"/>
      <w:divBdr>
        <w:top w:val="none" w:sz="0" w:space="0" w:color="auto"/>
        <w:left w:val="none" w:sz="0" w:space="0" w:color="auto"/>
        <w:bottom w:val="none" w:sz="0" w:space="0" w:color="auto"/>
        <w:right w:val="none" w:sz="0" w:space="0" w:color="auto"/>
      </w:divBdr>
      <w:divsChild>
        <w:div w:id="1820535112">
          <w:marLeft w:val="0"/>
          <w:marRight w:val="0"/>
          <w:marTop w:val="0"/>
          <w:marBottom w:val="0"/>
          <w:divBdr>
            <w:top w:val="none" w:sz="0" w:space="0" w:color="auto"/>
            <w:left w:val="none" w:sz="0" w:space="0" w:color="auto"/>
            <w:bottom w:val="none" w:sz="0" w:space="0" w:color="auto"/>
            <w:right w:val="none" w:sz="0" w:space="0" w:color="auto"/>
          </w:divBdr>
          <w:divsChild>
            <w:div w:id="2021740596">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454590013">
                  <w:marLeft w:val="30"/>
                  <w:marRight w:val="75"/>
                  <w:marTop w:val="75"/>
                  <w:marBottom w:val="75"/>
                  <w:divBdr>
                    <w:top w:val="none" w:sz="0" w:space="0" w:color="auto"/>
                    <w:left w:val="none" w:sz="0" w:space="0" w:color="auto"/>
                    <w:bottom w:val="none" w:sz="0" w:space="0" w:color="auto"/>
                    <w:right w:val="none" w:sz="0" w:space="0" w:color="auto"/>
                  </w:divBdr>
                  <w:divsChild>
                    <w:div w:id="1196888651">
                      <w:marLeft w:val="0"/>
                      <w:marRight w:val="0"/>
                      <w:marTop w:val="0"/>
                      <w:marBottom w:val="120"/>
                      <w:divBdr>
                        <w:top w:val="none" w:sz="0" w:space="0" w:color="auto"/>
                        <w:left w:val="none" w:sz="0" w:space="0" w:color="auto"/>
                        <w:bottom w:val="none" w:sz="0" w:space="0" w:color="auto"/>
                        <w:right w:val="none" w:sz="0" w:space="0" w:color="auto"/>
                      </w:divBdr>
                      <w:divsChild>
                        <w:div w:id="1850683018">
                          <w:marLeft w:val="0"/>
                          <w:marRight w:val="0"/>
                          <w:marTop w:val="0"/>
                          <w:marBottom w:val="0"/>
                          <w:divBdr>
                            <w:top w:val="none" w:sz="0" w:space="0" w:color="auto"/>
                            <w:left w:val="none" w:sz="0" w:space="0" w:color="auto"/>
                            <w:bottom w:val="none" w:sz="0" w:space="0" w:color="auto"/>
                            <w:right w:val="none" w:sz="0" w:space="0" w:color="auto"/>
                          </w:divBdr>
                        </w:div>
                        <w:div w:id="2072918401">
                          <w:marLeft w:val="0"/>
                          <w:marRight w:val="0"/>
                          <w:marTop w:val="0"/>
                          <w:marBottom w:val="0"/>
                          <w:divBdr>
                            <w:top w:val="none" w:sz="0" w:space="0" w:color="auto"/>
                            <w:left w:val="none" w:sz="0" w:space="0" w:color="auto"/>
                            <w:bottom w:val="none" w:sz="0" w:space="0" w:color="auto"/>
                            <w:right w:val="none" w:sz="0" w:space="0" w:color="auto"/>
                          </w:divBdr>
                        </w:div>
                        <w:div w:id="309677216">
                          <w:marLeft w:val="0"/>
                          <w:marRight w:val="0"/>
                          <w:marTop w:val="0"/>
                          <w:marBottom w:val="0"/>
                          <w:divBdr>
                            <w:top w:val="none" w:sz="0" w:space="0" w:color="auto"/>
                            <w:left w:val="none" w:sz="0" w:space="0" w:color="auto"/>
                            <w:bottom w:val="none" w:sz="0" w:space="0" w:color="auto"/>
                            <w:right w:val="none" w:sz="0" w:space="0" w:color="auto"/>
                          </w:divBdr>
                        </w:div>
                        <w:div w:id="1174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a.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gli.government.b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3624</Words>
  <Characters>20657</Characters>
  <Application>Microsoft Office Word</Application>
  <DocSecurity>0</DocSecurity>
  <Lines>172</Lines>
  <Paragraphs>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Таня Василева</cp:lastModifiedBy>
  <cp:revision>14</cp:revision>
  <cp:lastPrinted>2020-05-18T13:24:00Z</cp:lastPrinted>
  <dcterms:created xsi:type="dcterms:W3CDTF">2020-05-12T07:11:00Z</dcterms:created>
  <dcterms:modified xsi:type="dcterms:W3CDTF">2020-05-18T13:26:00Z</dcterms:modified>
</cp:coreProperties>
</file>