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05" w:rsidRPr="00D65CD3" w:rsidRDefault="00D65CD3" w:rsidP="00D65CD3">
      <w:pPr>
        <w:spacing w:line="276" w:lineRule="auto"/>
        <w:jc w:val="right"/>
      </w:pPr>
      <w:r>
        <w:t>Приложение №1</w:t>
      </w:r>
    </w:p>
    <w:p w:rsidR="003F1C75" w:rsidRPr="003C37C1" w:rsidRDefault="003F1C75" w:rsidP="00D65CD3">
      <w:pPr>
        <w:pStyle w:val="Bodytext30"/>
        <w:shd w:val="clear" w:color="auto" w:fill="auto"/>
        <w:spacing w:before="0" w:line="276" w:lineRule="auto"/>
        <w:ind w:firstLine="0"/>
        <w:jc w:val="center"/>
        <w:rPr>
          <w:sz w:val="24"/>
          <w:szCs w:val="24"/>
        </w:rPr>
      </w:pPr>
      <w:r w:rsidRPr="003C37C1">
        <w:rPr>
          <w:sz w:val="24"/>
          <w:szCs w:val="24"/>
        </w:rPr>
        <w:t>ТЕХНИЧЕСКА СПЕЦИФИКАЦИЯ</w:t>
      </w:r>
    </w:p>
    <w:p w:rsidR="003F1C75" w:rsidRPr="003C37C1" w:rsidRDefault="003F1C75" w:rsidP="003C37C1">
      <w:pPr>
        <w:pStyle w:val="21"/>
        <w:numPr>
          <w:ilvl w:val="0"/>
          <w:numId w:val="3"/>
        </w:numPr>
        <w:shd w:val="clear" w:color="auto" w:fill="auto"/>
        <w:tabs>
          <w:tab w:val="left" w:pos="289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C37C1">
        <w:rPr>
          <w:rStyle w:val="BodytextBold"/>
          <w:sz w:val="24"/>
          <w:szCs w:val="24"/>
        </w:rPr>
        <w:t>ПРЕДМЕТ НА ПОРЪЧКАТА:„</w:t>
      </w:r>
      <w:r w:rsidRPr="003C37C1">
        <w:rPr>
          <w:b/>
          <w:i/>
          <w:sz w:val="24"/>
          <w:szCs w:val="24"/>
        </w:rPr>
        <w:t>Изработване на обследване за енергийна ефективност на системи</w:t>
      </w:r>
      <w:r w:rsidR="004F6287">
        <w:rPr>
          <w:b/>
          <w:i/>
          <w:sz w:val="24"/>
          <w:szCs w:val="24"/>
        </w:rPr>
        <w:t>те</w:t>
      </w:r>
      <w:r w:rsidRPr="003C37C1">
        <w:rPr>
          <w:b/>
          <w:i/>
          <w:sz w:val="24"/>
          <w:szCs w:val="24"/>
        </w:rPr>
        <w:t xml:space="preserve"> за улично осветление в </w:t>
      </w:r>
      <w:r w:rsidR="004F6287">
        <w:rPr>
          <w:b/>
          <w:i/>
          <w:sz w:val="24"/>
          <w:szCs w:val="24"/>
        </w:rPr>
        <w:t xml:space="preserve">десет </w:t>
      </w:r>
      <w:r w:rsidRPr="003C37C1">
        <w:rPr>
          <w:b/>
          <w:i/>
          <w:sz w:val="24"/>
          <w:szCs w:val="24"/>
        </w:rPr>
        <w:t>населени места от Община Добричка”</w:t>
      </w:r>
    </w:p>
    <w:p w:rsidR="003F1C75" w:rsidRPr="003C37C1" w:rsidRDefault="008C6287" w:rsidP="003C37C1">
      <w:pPr>
        <w:pStyle w:val="21"/>
        <w:shd w:val="clear" w:color="auto" w:fill="auto"/>
        <w:tabs>
          <w:tab w:val="left" w:pos="260"/>
          <w:tab w:val="left" w:pos="1134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3C37C1">
        <w:rPr>
          <w:b/>
          <w:sz w:val="24"/>
          <w:szCs w:val="24"/>
        </w:rPr>
        <w:t>2.СЪЩЕСТВУВАЩО ПОЛОЖЕНИЕ</w:t>
      </w:r>
      <w:r w:rsidR="0064596A" w:rsidRPr="003C37C1">
        <w:rPr>
          <w:b/>
          <w:sz w:val="24"/>
          <w:szCs w:val="24"/>
        </w:rPr>
        <w:t xml:space="preserve">, </w:t>
      </w:r>
      <w:r w:rsidR="003F1C75" w:rsidRPr="003C37C1">
        <w:rPr>
          <w:b/>
          <w:sz w:val="24"/>
          <w:szCs w:val="24"/>
        </w:rPr>
        <w:t xml:space="preserve">ОСНОВАНИЕ И ЦЕЛ НА ОБСЛЕДВАНЕТО </w:t>
      </w:r>
    </w:p>
    <w:p w:rsidR="00BA05B4" w:rsidRPr="003C37C1" w:rsidRDefault="00BA05B4" w:rsidP="003C37C1">
      <w:pPr>
        <w:widowControl w:val="0"/>
        <w:spacing w:line="276" w:lineRule="auto"/>
        <w:ind w:firstLine="709"/>
        <w:jc w:val="both"/>
        <w:rPr>
          <w:spacing w:val="-8"/>
          <w:sz w:val="24"/>
          <w:szCs w:val="24"/>
          <w:lang w:eastAsia="en-US"/>
        </w:rPr>
      </w:pPr>
      <w:r w:rsidRPr="003C37C1">
        <w:rPr>
          <w:spacing w:val="-8"/>
          <w:sz w:val="24"/>
          <w:szCs w:val="24"/>
          <w:lang w:eastAsia="en-US"/>
        </w:rPr>
        <w:t xml:space="preserve">2.1. </w:t>
      </w:r>
      <w:r w:rsidR="0064596A" w:rsidRPr="003C37C1">
        <w:rPr>
          <w:spacing w:val="-8"/>
          <w:sz w:val="24"/>
          <w:szCs w:val="24"/>
          <w:lang w:eastAsia="en-US"/>
        </w:rPr>
        <w:t xml:space="preserve">Преобладаващо в общината уличното осветление е реализирано, чрез </w:t>
      </w:r>
      <w:r w:rsidR="0064596A" w:rsidRPr="003C37C1">
        <w:rPr>
          <w:sz w:val="24"/>
          <w:szCs w:val="24"/>
        </w:rPr>
        <w:t>компактни луминисцентни лампи</w:t>
      </w:r>
      <w:r w:rsidRPr="003C37C1">
        <w:rPr>
          <w:sz w:val="24"/>
          <w:szCs w:val="24"/>
        </w:rPr>
        <w:t xml:space="preserve">. През 2011 г. в общината е извършена подмяна на морално остарели живачни осветителните лампи (7 112 бр) с мощност от 125 до 400W с енергоспестяващи лампи от 18 и 36 W. Значителна част от осветителните тела са </w:t>
      </w:r>
      <w:r w:rsidR="0064596A" w:rsidRPr="003C37C1">
        <w:rPr>
          <w:spacing w:val="-8"/>
          <w:sz w:val="24"/>
          <w:szCs w:val="24"/>
          <w:lang w:eastAsia="en-US"/>
        </w:rPr>
        <w:t>монтирани на рогатки към стълбове</w:t>
      </w:r>
      <w:r w:rsidRPr="003C37C1">
        <w:rPr>
          <w:spacing w:val="-8"/>
          <w:sz w:val="24"/>
          <w:szCs w:val="24"/>
          <w:lang w:eastAsia="en-US"/>
        </w:rPr>
        <w:t>те</w:t>
      </w:r>
      <w:r w:rsidR="0064596A" w:rsidRPr="003C37C1">
        <w:rPr>
          <w:spacing w:val="-8"/>
          <w:sz w:val="24"/>
          <w:szCs w:val="24"/>
          <w:lang w:eastAsia="en-US"/>
        </w:rPr>
        <w:t xml:space="preserve"> на електроразпределителната мрежа. </w:t>
      </w:r>
      <w:r w:rsidRPr="003C37C1">
        <w:rPr>
          <w:spacing w:val="-8"/>
          <w:sz w:val="24"/>
          <w:szCs w:val="24"/>
          <w:lang w:eastAsia="en-US"/>
        </w:rPr>
        <w:t>В някои от селата общината е монтирала стоманено-тръбни стълбове з</w:t>
      </w:r>
      <w:r w:rsidR="0064596A" w:rsidRPr="003C37C1">
        <w:rPr>
          <w:spacing w:val="-8"/>
          <w:sz w:val="24"/>
          <w:szCs w:val="24"/>
          <w:lang w:eastAsia="en-US"/>
        </w:rPr>
        <w:t xml:space="preserve">а улично осветление с височина 5м над земята. </w:t>
      </w:r>
    </w:p>
    <w:p w:rsidR="0064596A" w:rsidRPr="003C37C1" w:rsidRDefault="0064596A" w:rsidP="003C37C1">
      <w:pPr>
        <w:widowControl w:val="0"/>
        <w:spacing w:line="276" w:lineRule="auto"/>
        <w:ind w:firstLine="709"/>
        <w:jc w:val="both"/>
        <w:rPr>
          <w:spacing w:val="-8"/>
          <w:sz w:val="24"/>
          <w:szCs w:val="24"/>
          <w:lang w:eastAsia="en-US"/>
        </w:rPr>
      </w:pPr>
      <w:r w:rsidRPr="003C37C1">
        <w:rPr>
          <w:spacing w:val="-8"/>
          <w:sz w:val="24"/>
          <w:szCs w:val="24"/>
          <w:lang w:eastAsia="en-US"/>
        </w:rPr>
        <w:t>В средата на 2017 г. е започната подмяна на луминесцентните осветителни тела с LED осветители, които се монтират на съществуващите рогатки</w:t>
      </w:r>
      <w:r w:rsidR="00BA05B4" w:rsidRPr="003C37C1">
        <w:rPr>
          <w:spacing w:val="-8"/>
          <w:sz w:val="24"/>
          <w:szCs w:val="24"/>
          <w:lang w:eastAsia="en-US"/>
        </w:rPr>
        <w:t>.</w:t>
      </w:r>
    </w:p>
    <w:p w:rsidR="0064596A" w:rsidRPr="003C37C1" w:rsidRDefault="0064596A" w:rsidP="003C37C1">
      <w:pPr>
        <w:widowControl w:val="0"/>
        <w:spacing w:line="276" w:lineRule="auto"/>
        <w:ind w:firstLine="709"/>
        <w:jc w:val="both"/>
        <w:rPr>
          <w:spacing w:val="-8"/>
          <w:sz w:val="24"/>
          <w:szCs w:val="24"/>
          <w:lang w:eastAsia="en-US"/>
        </w:rPr>
      </w:pPr>
      <w:r w:rsidRPr="003C37C1">
        <w:rPr>
          <w:spacing w:val="-8"/>
          <w:sz w:val="24"/>
          <w:szCs w:val="24"/>
          <w:lang w:eastAsia="en-US"/>
        </w:rPr>
        <w:t>С цел подобряване качеството на услугата „Улично осветление“ и привеждането й в съответствие с националните и европейски стандарти и подобряване сигурността и безопасността на гражданите на общината, през последните години е извършена рехабилитация на част от уличното осветление на територията на общината. Към края на 2019 г. община Добричка е подменила на 100% осветителните тела в селата Богдан, Божурово Воднянци, Долина, Пчелино, Плачи дол, Самуилово и Фелдф</w:t>
      </w:r>
      <w:r w:rsidR="00BA05B4" w:rsidRPr="003C37C1">
        <w:rPr>
          <w:spacing w:val="-8"/>
          <w:sz w:val="24"/>
          <w:szCs w:val="24"/>
          <w:lang w:eastAsia="en-US"/>
        </w:rPr>
        <w:t>е</w:t>
      </w:r>
      <w:r w:rsidRPr="003C37C1">
        <w:rPr>
          <w:spacing w:val="-8"/>
          <w:sz w:val="24"/>
          <w:szCs w:val="24"/>
          <w:lang w:eastAsia="en-US"/>
        </w:rPr>
        <w:t xml:space="preserve">бел Денково. Частично са подменени осветителните тела в селата Батово, Бранище, Козлодуйци Лясково, Паскалево, Славеево, Стефан Караджа и Стожер. </w:t>
      </w:r>
    </w:p>
    <w:p w:rsidR="00BA05B4" w:rsidRPr="003C37C1" w:rsidRDefault="00BA05B4" w:rsidP="003C37C1">
      <w:pPr>
        <w:widowControl w:val="0"/>
        <w:spacing w:line="276" w:lineRule="auto"/>
        <w:ind w:firstLine="709"/>
        <w:jc w:val="both"/>
        <w:rPr>
          <w:spacing w:val="-8"/>
          <w:sz w:val="24"/>
          <w:szCs w:val="24"/>
          <w:lang w:eastAsia="en-US"/>
        </w:rPr>
      </w:pPr>
      <w:r w:rsidRPr="003C37C1">
        <w:rPr>
          <w:sz w:val="24"/>
          <w:szCs w:val="24"/>
        </w:rPr>
        <w:t xml:space="preserve">Въведен е работен режим на </w:t>
      </w:r>
      <w:r w:rsidRPr="003C37C1">
        <w:rPr>
          <w:spacing w:val="-8"/>
          <w:sz w:val="24"/>
          <w:szCs w:val="24"/>
          <w:lang w:eastAsia="en-US"/>
        </w:rPr>
        <w:t>уличното осветление в тъмните часове на денонощиетоза територията на цялата община.</w:t>
      </w:r>
    </w:p>
    <w:p w:rsidR="008C6287" w:rsidRPr="003C37C1" w:rsidRDefault="00BA05B4" w:rsidP="003C37C1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2.2. </w:t>
      </w:r>
      <w:r w:rsidR="008C6287" w:rsidRPr="003C37C1">
        <w:rPr>
          <w:sz w:val="24"/>
          <w:szCs w:val="24"/>
        </w:rPr>
        <w:t>Селищните системи за улично осветление трябва да съответстват на стандартите. Те трябва да бъдат оптимизирани, надеждни и да функционират с минимални разходи за електроенергия и техническа поддръжка. Чрез правилното им обследване и изграждане, емисиите на парникови газове и светлинното замърсяване на атмосферата, съпътстващи неминуемо тяхната експлоатация, могат да бъдат сведени до минимум.</w:t>
      </w:r>
    </w:p>
    <w:p w:rsidR="003F1C75" w:rsidRPr="003C37C1" w:rsidRDefault="003F1C75" w:rsidP="003C37C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Обследването за енергийна ефективност на системи за улично осветление има за цел да определи специфичните възможности за намаляване на енергийното потребление и да препоръча мерки за повишаване на енергийната ефективност. Препоръчаните мерки (включително чрез въвеждане на възобновяеми източници за собствено потребление в система за външно изкуствено осветление) за повишаване на енергийната ефективност трябва да водят до проверимо, измеримо или оценимо повишаване на енергийната ефективност при крайното потребление на енергия и да бъдат разходоефективни.</w:t>
      </w:r>
    </w:p>
    <w:p w:rsidR="003F1C75" w:rsidRPr="003C37C1" w:rsidRDefault="008C6287" w:rsidP="003C37C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u-RU"/>
        </w:rPr>
      </w:pPr>
      <w:r w:rsidRPr="003C37C1">
        <w:rPr>
          <w:sz w:val="24"/>
          <w:szCs w:val="24"/>
        </w:rPr>
        <w:tab/>
      </w:r>
      <w:r w:rsidR="00653F56">
        <w:rPr>
          <w:sz w:val="24"/>
          <w:szCs w:val="24"/>
        </w:rPr>
        <w:t>2.3.</w:t>
      </w:r>
      <w:r w:rsidR="000B03B9" w:rsidRPr="003C37C1">
        <w:rPr>
          <w:sz w:val="24"/>
          <w:szCs w:val="24"/>
        </w:rPr>
        <w:t>Населените места</w:t>
      </w:r>
      <w:r w:rsidR="001C79D5">
        <w:rPr>
          <w:sz w:val="24"/>
          <w:szCs w:val="24"/>
        </w:rPr>
        <w:t xml:space="preserve">, за които  следва да се изготвят </w:t>
      </w:r>
      <w:r w:rsidR="00016BAF">
        <w:rPr>
          <w:sz w:val="24"/>
          <w:szCs w:val="24"/>
        </w:rPr>
        <w:t>доклади от</w:t>
      </w:r>
      <w:r w:rsidR="000B03B9" w:rsidRPr="003C37C1">
        <w:rPr>
          <w:sz w:val="24"/>
          <w:szCs w:val="24"/>
        </w:rPr>
        <w:t xml:space="preserve"> обследване за е</w:t>
      </w:r>
      <w:r w:rsidR="00395ADF">
        <w:rPr>
          <w:sz w:val="24"/>
          <w:szCs w:val="24"/>
        </w:rPr>
        <w:t>нергийна ефективност на улично</w:t>
      </w:r>
      <w:r w:rsidR="000B03B9" w:rsidRPr="003C37C1">
        <w:rPr>
          <w:sz w:val="24"/>
          <w:szCs w:val="24"/>
        </w:rPr>
        <w:t xml:space="preserve"> осветление са:с. Одърци, с. Батово, с. Бенковски, с. Победа, с. Дончево, с. Карапелит, с. Ловчанци, с. Паскалево, с. Стефаново, с. Стожер.</w:t>
      </w:r>
      <w:r w:rsidR="00BA05B4" w:rsidRPr="003C37C1">
        <w:rPr>
          <w:sz w:val="24"/>
          <w:szCs w:val="24"/>
        </w:rPr>
        <w:t xml:space="preserve"> Съществуващите осветителни тела са дадени в Таблица 2. </w:t>
      </w:r>
    </w:p>
    <w:p w:rsidR="00817A12" w:rsidRPr="003C37C1" w:rsidRDefault="003F1C75" w:rsidP="003C37C1">
      <w:pPr>
        <w:pStyle w:val="Heading30"/>
        <w:numPr>
          <w:ilvl w:val="1"/>
          <w:numId w:val="4"/>
        </w:numPr>
        <w:shd w:val="clear" w:color="auto" w:fill="auto"/>
        <w:tabs>
          <w:tab w:val="left" w:pos="1292"/>
        </w:tabs>
        <w:spacing w:before="0" w:line="276" w:lineRule="auto"/>
        <w:ind w:firstLine="709"/>
        <w:outlineLvl w:val="9"/>
        <w:rPr>
          <w:sz w:val="24"/>
          <w:szCs w:val="24"/>
        </w:rPr>
      </w:pPr>
      <w:r w:rsidRPr="003C37C1">
        <w:rPr>
          <w:sz w:val="24"/>
          <w:szCs w:val="24"/>
        </w:rPr>
        <w:lastRenderedPageBreak/>
        <w:t>ОБЩИ ИЗИСКВАНИЯ КЪМ ОБСЛЕДВАНЕТО В СЪОТВЕТСТВИЕ С ДЕЙСТВАЩАТА НОРМАТИВНА УРЕДБА</w:t>
      </w:r>
    </w:p>
    <w:p w:rsidR="00817A12" w:rsidRPr="003C37C1" w:rsidRDefault="00817A12" w:rsidP="003C37C1">
      <w:pPr>
        <w:pStyle w:val="Heading30"/>
        <w:shd w:val="clear" w:color="auto" w:fill="auto"/>
        <w:tabs>
          <w:tab w:val="left" w:pos="1292"/>
        </w:tabs>
        <w:spacing w:before="0" w:line="276" w:lineRule="auto"/>
        <w:ind w:firstLine="709"/>
        <w:outlineLvl w:val="9"/>
        <w:rPr>
          <w:sz w:val="24"/>
          <w:szCs w:val="24"/>
        </w:rPr>
      </w:pPr>
      <w:r w:rsidRPr="003C37C1">
        <w:rPr>
          <w:sz w:val="24"/>
          <w:szCs w:val="24"/>
        </w:rPr>
        <w:t xml:space="preserve">Обследването за енергийна ефективност на улична осветителна система на </w:t>
      </w:r>
      <w:r w:rsidR="002D6F15" w:rsidRPr="003C37C1">
        <w:rPr>
          <w:sz w:val="24"/>
          <w:szCs w:val="24"/>
        </w:rPr>
        <w:t xml:space="preserve">посочените населени места </w:t>
      </w:r>
      <w:r w:rsidRPr="003C37C1">
        <w:rPr>
          <w:sz w:val="24"/>
          <w:szCs w:val="24"/>
        </w:rPr>
        <w:t xml:space="preserve">в общинаДобричка следва да се изготви съгласно </w:t>
      </w:r>
      <w:r w:rsidR="00BA05B4" w:rsidRPr="003C37C1">
        <w:rPr>
          <w:sz w:val="24"/>
          <w:szCs w:val="24"/>
        </w:rPr>
        <w:t xml:space="preserve">изискванията на </w:t>
      </w:r>
      <w:r w:rsidRPr="003C37C1">
        <w:rPr>
          <w:sz w:val="24"/>
          <w:szCs w:val="24"/>
        </w:rPr>
        <w:t xml:space="preserve"> чл. 57, ал.1 от ЗЕЕ и </w:t>
      </w:r>
      <w:r w:rsidRPr="003C37C1">
        <w:rPr>
          <w:sz w:val="24"/>
          <w:szCs w:val="24"/>
          <w:shd w:val="clear" w:color="auto" w:fill="FEFEFE"/>
        </w:rPr>
        <w:t xml:space="preserve">по реда на </w:t>
      </w:r>
      <w:r w:rsidR="000D18B8" w:rsidRPr="003C37C1">
        <w:rPr>
          <w:bCs/>
          <w:sz w:val="24"/>
          <w:szCs w:val="24"/>
        </w:rPr>
        <w:t>Наредба № Е-РД-04-05 от 8 септември 2016 г. за определяне на показателите за разход на енергия, енергийните характеристики на предприятия, промишлени системи и системи за външно изкуствено</w:t>
      </w:r>
      <w:r w:rsidR="000D18B8" w:rsidRPr="003C37C1">
        <w:rPr>
          <w:bCs/>
        </w:rPr>
        <w:t xml:space="preserve"> осветление, както и за определяне на условията и реда за извършване на обследване за енергийна ефективност и изготвяне на оценка на енергийни спестявания (Наредба № Е-РД-04-05 от 8 септември 2016 г.).</w:t>
      </w:r>
    </w:p>
    <w:p w:rsidR="00091618" w:rsidRPr="003C37C1" w:rsidRDefault="00091618" w:rsidP="003C37C1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Обследване за енергийна ефективност на системата за улично осветление е необходимо поради инвестиционно намерение на Възложителя, с което се цели:</w:t>
      </w:r>
    </w:p>
    <w:p w:rsidR="00091618" w:rsidRPr="003C37C1" w:rsidRDefault="00091618" w:rsidP="003C37C1">
      <w:pPr>
        <w:pStyle w:val="21"/>
        <w:numPr>
          <w:ilvl w:val="0"/>
          <w:numId w:val="13"/>
        </w:numPr>
        <w:shd w:val="clear" w:color="auto" w:fill="auto"/>
        <w:tabs>
          <w:tab w:val="left" w:pos="713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Подобряване на качеството на уличното осветление и осигуряване на съответствие със стандартизационен документ за улично осветление СД CEN/TR 13201-1 и български стандарти за улично осветление: БДС EN 13201-2, БДС EN 13201–3 и БДС EN 13201–5;</w:t>
      </w:r>
    </w:p>
    <w:p w:rsidR="00091618" w:rsidRPr="003C37C1" w:rsidRDefault="00091618" w:rsidP="003C37C1">
      <w:pPr>
        <w:pStyle w:val="21"/>
        <w:numPr>
          <w:ilvl w:val="0"/>
          <w:numId w:val="13"/>
        </w:numPr>
        <w:shd w:val="clear" w:color="auto" w:fill="auto"/>
        <w:tabs>
          <w:tab w:val="left" w:pos="713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Повишаване на енергийната ефективност на системата за улично осветление, намаляване на консумацията на енергия, в резултат на това и намаляване на емисиите парникови газове.</w:t>
      </w:r>
    </w:p>
    <w:p w:rsidR="00091618" w:rsidRPr="003C37C1" w:rsidRDefault="00091618" w:rsidP="003C37C1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Изпълнителят следва да постигне съответствие на планираната инвестиция със следните  критериите:</w:t>
      </w:r>
    </w:p>
    <w:p w:rsidR="00091618" w:rsidRPr="003C37C1" w:rsidRDefault="00091618" w:rsidP="003C37C1">
      <w:pPr>
        <w:pStyle w:val="21"/>
        <w:numPr>
          <w:ilvl w:val="0"/>
          <w:numId w:val="13"/>
        </w:numPr>
        <w:shd w:val="clear" w:color="auto" w:fill="auto"/>
        <w:tabs>
          <w:tab w:val="left" w:pos="713"/>
          <w:tab w:val="left" w:pos="9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Максимално редуциране на инсталираната мощност на уличното осветление</w:t>
      </w:r>
      <w:r w:rsidRPr="003C37C1">
        <w:rPr>
          <w:sz w:val="24"/>
          <w:szCs w:val="24"/>
          <w:lang w:val="ru-RU"/>
        </w:rPr>
        <w:t>;</w:t>
      </w:r>
    </w:p>
    <w:p w:rsidR="00091618" w:rsidRPr="003C37C1" w:rsidRDefault="00091618" w:rsidP="003C37C1">
      <w:pPr>
        <w:pStyle w:val="21"/>
        <w:numPr>
          <w:ilvl w:val="0"/>
          <w:numId w:val="13"/>
        </w:numPr>
        <w:shd w:val="clear" w:color="auto" w:fill="auto"/>
        <w:tabs>
          <w:tab w:val="left" w:pos="713"/>
          <w:tab w:val="left" w:pos="9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Максимална икономия на електрическа енергия;</w:t>
      </w:r>
    </w:p>
    <w:p w:rsidR="00091618" w:rsidRPr="003C37C1" w:rsidRDefault="00091618" w:rsidP="003C37C1">
      <w:pPr>
        <w:pStyle w:val="21"/>
        <w:numPr>
          <w:ilvl w:val="0"/>
          <w:numId w:val="13"/>
        </w:numPr>
        <w:shd w:val="clear" w:color="auto" w:fill="auto"/>
        <w:tabs>
          <w:tab w:val="left" w:pos="713"/>
          <w:tab w:val="left" w:pos="9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Максимално намаляване на емисиите от парнико</w:t>
      </w:r>
      <w:r w:rsidR="00263915" w:rsidRPr="003C37C1">
        <w:rPr>
          <w:sz w:val="24"/>
          <w:szCs w:val="24"/>
        </w:rPr>
        <w:t>ви газове</w:t>
      </w:r>
      <w:r w:rsidR="000668D1">
        <w:rPr>
          <w:sz w:val="24"/>
          <w:szCs w:val="24"/>
          <w:lang w:val="en-US"/>
        </w:rPr>
        <w:t>;</w:t>
      </w:r>
      <w:r w:rsidR="00263915" w:rsidRPr="003C37C1">
        <w:rPr>
          <w:sz w:val="24"/>
          <w:szCs w:val="24"/>
        </w:rPr>
        <w:t>;</w:t>
      </w:r>
    </w:p>
    <w:p w:rsidR="00263915" w:rsidRPr="003C37C1" w:rsidRDefault="00263915" w:rsidP="003C37C1">
      <w:pPr>
        <w:pStyle w:val="21"/>
        <w:numPr>
          <w:ilvl w:val="0"/>
          <w:numId w:val="13"/>
        </w:numPr>
        <w:shd w:val="clear" w:color="auto" w:fill="auto"/>
        <w:tabs>
          <w:tab w:val="left" w:pos="713"/>
          <w:tab w:val="left" w:pos="9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Минимален срок за откупуване на инвестицията.</w:t>
      </w:r>
    </w:p>
    <w:p w:rsidR="00817A12" w:rsidRPr="003C37C1" w:rsidRDefault="00817A12" w:rsidP="003C37C1">
      <w:pPr>
        <w:pStyle w:val="Heading30"/>
        <w:shd w:val="clear" w:color="auto" w:fill="auto"/>
        <w:tabs>
          <w:tab w:val="left" w:pos="1292"/>
        </w:tabs>
        <w:spacing w:before="0" w:line="276" w:lineRule="auto"/>
        <w:ind w:firstLine="709"/>
        <w:outlineLvl w:val="9"/>
        <w:rPr>
          <w:sz w:val="24"/>
          <w:szCs w:val="24"/>
        </w:rPr>
      </w:pPr>
      <w:r w:rsidRPr="003C37C1">
        <w:rPr>
          <w:sz w:val="24"/>
          <w:szCs w:val="24"/>
        </w:rPr>
        <w:t xml:space="preserve">Обследванетоследва да включва следните </w:t>
      </w:r>
      <w:r w:rsidRPr="003C37C1">
        <w:rPr>
          <w:b/>
          <w:sz w:val="24"/>
          <w:szCs w:val="24"/>
        </w:rPr>
        <w:t>основни етапи</w:t>
      </w:r>
      <w:r w:rsidRPr="003C37C1">
        <w:rPr>
          <w:sz w:val="24"/>
          <w:szCs w:val="24"/>
        </w:rPr>
        <w:t>: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1. подготвителен етап, по време на който се извършват дейностите: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а) оглед на системата за външно изкуствено осветление;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б) събиране на информация за структурата, параметрите, електроснабдяването, управлението на системата и разхода на енергия за предходен тригодишен период</w:t>
      </w:r>
      <w:r w:rsidR="002D6F15" w:rsidRPr="003C37C1">
        <w:rPr>
          <w:sz w:val="24"/>
          <w:szCs w:val="24"/>
        </w:rPr>
        <w:t>, като Възложителят може да предостави значителна част от информацията</w:t>
      </w:r>
      <w:r w:rsidRPr="003C37C1">
        <w:rPr>
          <w:sz w:val="24"/>
          <w:szCs w:val="24"/>
        </w:rPr>
        <w:t xml:space="preserve">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2. етап на установяване на енергийните характеристики на системата за външно изкуствено осветление: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а) анализ на съществуващото състояние и на енергийното потребление;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б) определяне на базовата линия на енергийно потребление;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в) събиране на подробна информация за състоянието на системата за външно изкуствено осветление чрез огледи, измервания и налична информация;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г) обработка и анализ на данните; оценка на съответствието на съществуващото състояние с проектните нормени или референтни стойности на показателите на системите за външно изкуствено осветление: светлотехнически, електротехнически, ергономични;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д) определяне на енергийните характеристики на системата за външно изкуствено осветление и възможностите за тяхното подобряване;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3. етап на разработване на мерки за повишаване на енергийната ефективност, по време на който се извършват дейностите: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lastRenderedPageBreak/>
        <w:t xml:space="preserve">а) изготвяне на списък от мерки за повишаване на енергийната ефективност;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б) остойностяване на всяка мярка за повишаване на енергийната ефективност и определяне срока за откупуване на инвестициите;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в) определяне на годишния размер на енергийните спестявания с отчитане на взаимното влияние на отделните мерки;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г) анализ и оценка на годишното количество спестени емисии въглероден диоксид (СО2) в резултат на разработените мерки за повишаване на енергийната ефективност;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4. заключителен етап, по време на който се извършват дейностите: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а) изготвяне на доклад</w:t>
      </w:r>
      <w:r w:rsidR="000929E3">
        <w:rPr>
          <w:sz w:val="24"/>
          <w:szCs w:val="24"/>
        </w:rPr>
        <w:t>и</w:t>
      </w:r>
      <w:r w:rsidRPr="003C37C1">
        <w:rPr>
          <w:sz w:val="24"/>
          <w:szCs w:val="24"/>
        </w:rPr>
        <w:t xml:space="preserve"> и резюме</w:t>
      </w:r>
      <w:r w:rsidR="000929E3">
        <w:rPr>
          <w:sz w:val="24"/>
          <w:szCs w:val="24"/>
        </w:rPr>
        <w:t>та</w:t>
      </w:r>
      <w:r w:rsidRPr="003C37C1">
        <w:rPr>
          <w:sz w:val="24"/>
          <w:szCs w:val="24"/>
        </w:rPr>
        <w:t xml:space="preserve"> за отразяване на резултатите от обследването; 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0"/>
        <w:jc w:val="both"/>
        <w:rPr>
          <w:rStyle w:val="apple-converted-space"/>
          <w:i/>
          <w:sz w:val="24"/>
          <w:szCs w:val="24"/>
          <w:shd w:val="clear" w:color="auto" w:fill="FEFEFE"/>
        </w:rPr>
      </w:pPr>
      <w:r w:rsidRPr="003C37C1">
        <w:rPr>
          <w:sz w:val="24"/>
          <w:szCs w:val="24"/>
        </w:rPr>
        <w:t>б) представянето им на собственика на системата за външно изкуствено осветление.</w:t>
      </w:r>
      <w:r w:rsidRPr="003C37C1">
        <w:rPr>
          <w:rStyle w:val="apple-converted-space"/>
          <w:sz w:val="24"/>
          <w:szCs w:val="24"/>
          <w:shd w:val="clear" w:color="auto" w:fill="FEFEFE"/>
        </w:rPr>
        <w:t> </w:t>
      </w:r>
    </w:p>
    <w:p w:rsidR="00817A12" w:rsidRPr="003C37C1" w:rsidRDefault="00817A12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709"/>
        <w:jc w:val="both"/>
        <w:rPr>
          <w:b/>
          <w:sz w:val="24"/>
          <w:szCs w:val="24"/>
          <w:shd w:val="clear" w:color="auto" w:fill="FEFEFE"/>
        </w:rPr>
      </w:pPr>
      <w:r w:rsidRPr="00BF5476">
        <w:rPr>
          <w:b/>
          <w:sz w:val="24"/>
          <w:szCs w:val="24"/>
          <w:shd w:val="clear" w:color="auto" w:fill="FEFEFE"/>
        </w:rPr>
        <w:t>Резултатите от обследването</w:t>
      </w:r>
      <w:r w:rsidRPr="00BF5476">
        <w:rPr>
          <w:sz w:val="24"/>
          <w:szCs w:val="24"/>
          <w:shd w:val="clear" w:color="auto" w:fill="FEFEFE"/>
        </w:rPr>
        <w:t xml:space="preserve"> се отразяват в</w:t>
      </w:r>
      <w:r w:rsidR="00653F56" w:rsidRPr="00BF5476">
        <w:rPr>
          <w:b/>
          <w:sz w:val="24"/>
          <w:szCs w:val="24"/>
          <w:shd w:val="clear" w:color="auto" w:fill="FEFEFE"/>
        </w:rPr>
        <w:t>отделен</w:t>
      </w:r>
      <w:r w:rsidRPr="00BF5476">
        <w:rPr>
          <w:b/>
          <w:sz w:val="24"/>
          <w:szCs w:val="24"/>
          <w:shd w:val="clear" w:color="auto" w:fill="FEFEFE"/>
        </w:rPr>
        <w:t xml:space="preserve"> Док</w:t>
      </w:r>
      <w:r w:rsidR="003C37C1" w:rsidRPr="00BF5476">
        <w:rPr>
          <w:b/>
          <w:sz w:val="24"/>
          <w:szCs w:val="24"/>
          <w:shd w:val="clear" w:color="auto" w:fill="FEFEFE"/>
        </w:rPr>
        <w:t>лад</w:t>
      </w:r>
      <w:r w:rsidR="001C79D5" w:rsidRPr="00BF5476">
        <w:rPr>
          <w:b/>
          <w:sz w:val="24"/>
          <w:szCs w:val="24"/>
          <w:shd w:val="clear" w:color="auto" w:fill="FEFEFE"/>
        </w:rPr>
        <w:t xml:space="preserve"> за всяко </w:t>
      </w:r>
      <w:r w:rsidR="00653F56" w:rsidRPr="00BF5476">
        <w:rPr>
          <w:b/>
          <w:sz w:val="24"/>
          <w:szCs w:val="24"/>
          <w:shd w:val="clear" w:color="auto" w:fill="FEFEFE"/>
        </w:rPr>
        <w:t xml:space="preserve">едно </w:t>
      </w:r>
      <w:r w:rsidR="001C79D5" w:rsidRPr="00BF5476">
        <w:rPr>
          <w:b/>
          <w:sz w:val="24"/>
          <w:szCs w:val="24"/>
          <w:shd w:val="clear" w:color="auto" w:fill="FEFEFE"/>
        </w:rPr>
        <w:t>населено място</w:t>
      </w:r>
      <w:r w:rsidR="00653F56" w:rsidRPr="00BF5476">
        <w:rPr>
          <w:sz w:val="24"/>
          <w:szCs w:val="24"/>
          <w:shd w:val="clear" w:color="auto" w:fill="FEFEFE"/>
        </w:rPr>
        <w:t xml:space="preserve"> в точка 2.3.</w:t>
      </w:r>
      <w:r w:rsidR="00BF5476">
        <w:rPr>
          <w:sz w:val="24"/>
          <w:szCs w:val="24"/>
          <w:shd w:val="clear" w:color="auto" w:fill="FEFEFE"/>
        </w:rPr>
        <w:t xml:space="preserve">,изготвен </w:t>
      </w:r>
      <w:r w:rsidR="003C37C1" w:rsidRPr="00BF5476">
        <w:rPr>
          <w:sz w:val="24"/>
          <w:szCs w:val="24"/>
          <w:shd w:val="clear" w:color="auto" w:fill="FEFEFE"/>
        </w:rPr>
        <w:t xml:space="preserve">по </w:t>
      </w:r>
      <w:bookmarkStart w:id="0" w:name="_GoBack"/>
      <w:r w:rsidR="003C37C1" w:rsidRPr="00BF5476">
        <w:rPr>
          <w:sz w:val="24"/>
          <w:szCs w:val="24"/>
          <w:shd w:val="clear" w:color="auto" w:fill="FEFEFE"/>
        </w:rPr>
        <w:t>обем</w:t>
      </w:r>
      <w:bookmarkEnd w:id="0"/>
      <w:r w:rsidR="003C37C1" w:rsidRPr="00BF5476">
        <w:rPr>
          <w:sz w:val="24"/>
          <w:szCs w:val="24"/>
          <w:shd w:val="clear" w:color="auto" w:fill="FEFEFE"/>
        </w:rPr>
        <w:t xml:space="preserve"> и с</w:t>
      </w:r>
      <w:r w:rsidR="001C79D5" w:rsidRPr="00BF5476">
        <w:rPr>
          <w:sz w:val="24"/>
          <w:szCs w:val="24"/>
          <w:shd w:val="clear" w:color="auto" w:fill="FEFEFE"/>
          <w:lang w:val="ru-RU"/>
        </w:rPr>
        <w:t>ъ</w:t>
      </w:r>
      <w:r w:rsidR="003C37C1" w:rsidRPr="00BF5476">
        <w:rPr>
          <w:sz w:val="24"/>
          <w:szCs w:val="24"/>
          <w:shd w:val="clear" w:color="auto" w:fill="FEFEFE"/>
          <w:lang w:val="ru-RU"/>
        </w:rPr>
        <w:t>дъ</w:t>
      </w:r>
      <w:r w:rsidRPr="00BF5476">
        <w:rPr>
          <w:sz w:val="24"/>
          <w:szCs w:val="24"/>
          <w:shd w:val="clear" w:color="auto" w:fill="FEFEFE"/>
        </w:rPr>
        <w:t>ржание определени в чл.16 от „</w:t>
      </w:r>
      <w:r w:rsidRPr="00BF5476">
        <w:rPr>
          <w:bCs/>
          <w:sz w:val="24"/>
          <w:szCs w:val="24"/>
        </w:rPr>
        <w:t>Наредба № Е-РД-04-05 от 8 септември 2016 г.”</w:t>
      </w:r>
      <w:r w:rsidR="00653F56" w:rsidRPr="00BF5476">
        <w:rPr>
          <w:sz w:val="24"/>
          <w:szCs w:val="24"/>
          <w:shd w:val="clear" w:color="auto" w:fill="FEFEFE"/>
        </w:rPr>
        <w:t xml:space="preserve"> и </w:t>
      </w:r>
      <w:r w:rsidR="00653F56" w:rsidRPr="00BF5476">
        <w:rPr>
          <w:b/>
          <w:sz w:val="24"/>
          <w:szCs w:val="24"/>
          <w:shd w:val="clear" w:color="auto" w:fill="FEFEFE"/>
        </w:rPr>
        <w:t>отделно Резюме за всяко населено място</w:t>
      </w:r>
      <w:r w:rsidR="00BF5476" w:rsidRPr="00BF5476">
        <w:rPr>
          <w:sz w:val="24"/>
          <w:szCs w:val="24"/>
          <w:shd w:val="clear" w:color="auto" w:fill="FEFEFE"/>
        </w:rPr>
        <w:t>в точка 2.3.</w:t>
      </w:r>
      <w:r w:rsidR="00653F56" w:rsidRPr="00BF5476">
        <w:rPr>
          <w:sz w:val="24"/>
          <w:szCs w:val="24"/>
          <w:shd w:val="clear" w:color="auto" w:fill="FEFEFE"/>
        </w:rPr>
        <w:t>, изготвено</w:t>
      </w:r>
      <w:r w:rsidRPr="00BF5476">
        <w:rPr>
          <w:sz w:val="24"/>
          <w:szCs w:val="24"/>
          <w:shd w:val="clear" w:color="auto" w:fill="FEFEFE"/>
        </w:rPr>
        <w:t xml:space="preserve"> според изискването на чл.17 и по образец-</w:t>
      </w:r>
      <w:r w:rsidRPr="00BF5476">
        <w:rPr>
          <w:rStyle w:val="apple-converted-space"/>
          <w:sz w:val="24"/>
          <w:szCs w:val="24"/>
          <w:shd w:val="clear" w:color="auto" w:fill="FEFEFE"/>
        </w:rPr>
        <w:t> </w:t>
      </w:r>
      <w:r w:rsidRPr="00BF5476">
        <w:rPr>
          <w:rStyle w:val="samedocreference"/>
          <w:sz w:val="24"/>
          <w:szCs w:val="24"/>
          <w:shd w:val="clear" w:color="auto" w:fill="FEFEFE"/>
        </w:rPr>
        <w:t xml:space="preserve">приложение № 3 </w:t>
      </w:r>
      <w:r w:rsidRPr="00BF5476">
        <w:rPr>
          <w:sz w:val="24"/>
          <w:szCs w:val="24"/>
          <w:shd w:val="clear" w:color="auto" w:fill="FEFEFE"/>
        </w:rPr>
        <w:t xml:space="preserve">от същата наредба. </w:t>
      </w:r>
      <w:r w:rsidR="00653F56" w:rsidRPr="00653F56">
        <w:rPr>
          <w:sz w:val="24"/>
          <w:szCs w:val="24"/>
          <w:shd w:val="clear" w:color="auto" w:fill="FEFEFE"/>
        </w:rPr>
        <w:t xml:space="preserve">Резултатите от обследването </w:t>
      </w:r>
      <w:r w:rsidR="00653F56" w:rsidRPr="00653F56">
        <w:rPr>
          <w:b/>
          <w:sz w:val="24"/>
          <w:szCs w:val="24"/>
          <w:shd w:val="clear" w:color="auto" w:fill="FEFEFE"/>
        </w:rPr>
        <w:t xml:space="preserve">се </w:t>
      </w:r>
      <w:r w:rsidR="00653F56" w:rsidRPr="00653F56">
        <w:rPr>
          <w:b/>
          <w:sz w:val="24"/>
          <w:szCs w:val="24"/>
        </w:rPr>
        <w:t>придружават</w:t>
      </w:r>
      <w:r w:rsidR="00653F56" w:rsidRPr="00D21B7C">
        <w:rPr>
          <w:sz w:val="24"/>
          <w:szCs w:val="24"/>
        </w:rPr>
        <w:t xml:space="preserve"> с оригинали на декларации за липса на обстоятелства по чл. 59, ал. 2 и 4 от ЗЕЕ по образец</w:t>
      </w:r>
      <w:r w:rsidR="00653F56">
        <w:rPr>
          <w:sz w:val="24"/>
          <w:szCs w:val="24"/>
        </w:rPr>
        <w:t>,</w:t>
      </w:r>
      <w:r w:rsidR="00653F56" w:rsidRPr="00D21B7C">
        <w:rPr>
          <w:sz w:val="24"/>
          <w:szCs w:val="24"/>
        </w:rPr>
        <w:t xml:space="preserve"> съгласно приложение № 5 от „Наредба № Е-РД-04-05 от 8 септември 2016 г.”</w:t>
      </w:r>
    </w:p>
    <w:p w:rsidR="003F1C75" w:rsidRPr="003C37C1" w:rsidRDefault="003F1C75" w:rsidP="003C37C1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При оценката на действителното състояние на уличното осветление в общината и определяне мерките за повишаване на енергийната ефективност</w:t>
      </w:r>
      <w:r w:rsidR="003D1F56" w:rsidRPr="003C37C1">
        <w:rPr>
          <w:sz w:val="24"/>
          <w:szCs w:val="24"/>
        </w:rPr>
        <w:t xml:space="preserve"> следва</w:t>
      </w:r>
      <w:r w:rsidRPr="003C37C1">
        <w:rPr>
          <w:sz w:val="24"/>
          <w:szCs w:val="24"/>
        </w:rPr>
        <w:t xml:space="preserve"> да се използват следните нормативни документи:</w:t>
      </w:r>
    </w:p>
    <w:p w:rsidR="003F1C75" w:rsidRPr="003C37C1" w:rsidRDefault="003F1C75" w:rsidP="003C37C1">
      <w:pPr>
        <w:pStyle w:val="21"/>
        <w:numPr>
          <w:ilvl w:val="0"/>
          <w:numId w:val="5"/>
        </w:numPr>
        <w:shd w:val="clear" w:color="auto" w:fill="auto"/>
        <w:tabs>
          <w:tab w:val="left" w:pos="716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БДС </w:t>
      </w:r>
      <w:r w:rsidRPr="003C37C1">
        <w:rPr>
          <w:sz w:val="24"/>
          <w:szCs w:val="24"/>
          <w:lang w:val="en-US"/>
        </w:rPr>
        <w:t>EN</w:t>
      </w:r>
      <w:r w:rsidRPr="003C37C1">
        <w:rPr>
          <w:sz w:val="24"/>
          <w:szCs w:val="24"/>
        </w:rPr>
        <w:t>13201:2005 - Улично осветление. Част 2: Технически изисквания; Част 3: Изчисляване на светлотехническите показатели; Част 4: Методи за измерване на техническите изисквания към осветлението и Част 5 показатели за енергийна ефективност;</w:t>
      </w:r>
    </w:p>
    <w:p w:rsidR="003F1C75" w:rsidRPr="003C37C1" w:rsidRDefault="003F1C75" w:rsidP="003C37C1">
      <w:pPr>
        <w:pStyle w:val="21"/>
        <w:numPr>
          <w:ilvl w:val="0"/>
          <w:numId w:val="5"/>
        </w:numPr>
        <w:shd w:val="clear" w:color="auto" w:fill="auto"/>
        <w:tabs>
          <w:tab w:val="left" w:pos="716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 xml:space="preserve">БДС </w:t>
      </w:r>
      <w:r w:rsidRPr="003C37C1">
        <w:rPr>
          <w:sz w:val="24"/>
          <w:szCs w:val="24"/>
          <w:lang w:val="en-US"/>
        </w:rPr>
        <w:t>EN</w:t>
      </w:r>
      <w:r w:rsidRPr="003C37C1">
        <w:rPr>
          <w:sz w:val="24"/>
          <w:szCs w:val="24"/>
        </w:rPr>
        <w:t>60598-1/2 - Осветители. Част 1: Общи изисквания и изпитвания; Част 2</w:t>
      </w:r>
      <w:r w:rsidRPr="003C37C1">
        <w:rPr>
          <w:sz w:val="24"/>
          <w:szCs w:val="24"/>
        </w:rPr>
        <w:softHyphen/>
        <w:t>12: Специфични изисквания. Осветители за нощно осветление, монтирани в контактите наелектрическата мрежа</w:t>
      </w:r>
    </w:p>
    <w:p w:rsidR="003F1C75" w:rsidRPr="003C37C1" w:rsidRDefault="003F1C75" w:rsidP="003C37C1">
      <w:pPr>
        <w:pStyle w:val="21"/>
        <w:numPr>
          <w:ilvl w:val="0"/>
          <w:numId w:val="5"/>
        </w:numPr>
        <w:shd w:val="clear" w:color="auto" w:fill="auto"/>
        <w:tabs>
          <w:tab w:val="left" w:pos="721"/>
          <w:tab w:val="left" w:pos="993"/>
        </w:tabs>
        <w:spacing w:line="276" w:lineRule="auto"/>
        <w:ind w:left="0" w:firstLine="709"/>
        <w:jc w:val="both"/>
        <w:rPr>
          <w:i/>
          <w:sz w:val="24"/>
          <w:szCs w:val="24"/>
        </w:rPr>
      </w:pPr>
      <w:r w:rsidRPr="003C37C1">
        <w:rPr>
          <w:sz w:val="24"/>
          <w:szCs w:val="24"/>
        </w:rPr>
        <w:t xml:space="preserve">Закон за устройство на територията </w:t>
      </w:r>
      <w:r w:rsidRPr="003C37C1">
        <w:rPr>
          <w:i/>
          <w:sz w:val="24"/>
          <w:szCs w:val="24"/>
        </w:rPr>
        <w:t>(</w:t>
      </w:r>
      <w:r w:rsidRPr="003C37C1">
        <w:rPr>
          <w:rStyle w:val="af5"/>
          <w:i w:val="0"/>
          <w:sz w:val="24"/>
          <w:szCs w:val="24"/>
          <w:bdr w:val="none" w:sz="0" w:space="0" w:color="auto" w:frame="1"/>
          <w:shd w:val="clear" w:color="auto" w:fill="FFFFFF"/>
        </w:rPr>
        <w:t>Обн. ДВ. бр.1 от 2 Януари 2001г.</w:t>
      </w:r>
      <w:r w:rsidRPr="003C37C1">
        <w:rPr>
          <w:rStyle w:val="a9"/>
          <w:i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последно </w:t>
      </w:r>
      <w:r w:rsidRPr="003C37C1">
        <w:rPr>
          <w:rStyle w:val="af4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изм. и </w:t>
      </w:r>
      <w:r w:rsidRPr="003C37C1">
        <w:rPr>
          <w:sz w:val="24"/>
          <w:szCs w:val="24"/>
          <w:shd w:val="clear" w:color="auto" w:fill="FEFEFE"/>
        </w:rPr>
        <w:t>доп. ДВ. бр.62 от 6 Август 2019г.</w:t>
      </w:r>
      <w:r w:rsidRPr="003C37C1">
        <w:rPr>
          <w:sz w:val="24"/>
          <w:szCs w:val="24"/>
        </w:rPr>
        <w:t>)</w:t>
      </w:r>
    </w:p>
    <w:p w:rsidR="003F1C75" w:rsidRPr="003C37C1" w:rsidRDefault="003F1C75" w:rsidP="003C37C1">
      <w:pPr>
        <w:pStyle w:val="21"/>
        <w:numPr>
          <w:ilvl w:val="0"/>
          <w:numId w:val="5"/>
        </w:numPr>
        <w:shd w:val="clear" w:color="auto" w:fill="auto"/>
        <w:tabs>
          <w:tab w:val="left" w:pos="721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Закон за енергийна ефективност (Обн. - ДВ, бр. 35 от 15.05.2015 г., изм. и доп., бр. 38 от 8.05.2018 г.)</w:t>
      </w:r>
    </w:p>
    <w:p w:rsidR="003F1C75" w:rsidRPr="003C37C1" w:rsidRDefault="003F1C75" w:rsidP="003C37C1">
      <w:pPr>
        <w:pStyle w:val="21"/>
        <w:numPr>
          <w:ilvl w:val="0"/>
          <w:numId w:val="5"/>
        </w:numPr>
        <w:shd w:val="clear" w:color="auto" w:fill="auto"/>
        <w:tabs>
          <w:tab w:val="left" w:pos="721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C37C1">
        <w:rPr>
          <w:bCs/>
          <w:sz w:val="24"/>
          <w:szCs w:val="24"/>
        </w:rPr>
        <w:t>Наредба № Е-РД-04-05 от 8 септември 2016 г. за определяне на показателите за разход на енергия, енергийните характеристики на предприятия, промишлени системи и системи за външно изкуствено осветление, както и за определяне на условията и реда за извършване на обследване за енергийна ефективност и изготвяне на оценка на енергийни спестявания”</w:t>
      </w:r>
    </w:p>
    <w:p w:rsidR="003F1C75" w:rsidRPr="003C37C1" w:rsidRDefault="003F1C75" w:rsidP="003C37C1">
      <w:pPr>
        <w:pStyle w:val="21"/>
        <w:numPr>
          <w:ilvl w:val="0"/>
          <w:numId w:val="5"/>
        </w:numPr>
        <w:shd w:val="clear" w:color="auto" w:fill="auto"/>
        <w:tabs>
          <w:tab w:val="left" w:pos="726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Наредба № 3 от 09.06.2004 г. за устройството на електрически уредби и електропроводни линии-НУЕУЕЛ, ДВ бр. 90 и 91/2004</w:t>
      </w:r>
    </w:p>
    <w:p w:rsidR="003F1C75" w:rsidRPr="003C37C1" w:rsidRDefault="003F1C75" w:rsidP="003C37C1">
      <w:pPr>
        <w:pStyle w:val="21"/>
        <w:numPr>
          <w:ilvl w:val="0"/>
          <w:numId w:val="5"/>
        </w:numPr>
        <w:shd w:val="clear" w:color="auto" w:fill="auto"/>
        <w:tabs>
          <w:tab w:val="left" w:pos="788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НАРЕДБА № 18 от 12.11.2004 г. За енергийните характеристики на обектите</w:t>
      </w:r>
    </w:p>
    <w:p w:rsidR="003F1C75" w:rsidRPr="003C37C1" w:rsidRDefault="003F1C75" w:rsidP="003C37C1">
      <w:pPr>
        <w:pStyle w:val="21"/>
        <w:numPr>
          <w:ilvl w:val="0"/>
          <w:numId w:val="5"/>
        </w:numPr>
        <w:shd w:val="clear" w:color="auto" w:fill="auto"/>
        <w:tabs>
          <w:tab w:val="left" w:pos="788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Наредба № 8 от 28.07.1999 г. за правила и норми за разполагане на технически проводи и съоръжения в населени места (ДВ бр. 72/1999 г.);</w:t>
      </w:r>
    </w:p>
    <w:p w:rsidR="00A22881" w:rsidRPr="003C37C1" w:rsidRDefault="00A22881" w:rsidP="003C37C1">
      <w:pPr>
        <w:pStyle w:val="21"/>
        <w:shd w:val="clear" w:color="auto" w:fill="auto"/>
        <w:tabs>
          <w:tab w:val="left" w:pos="788"/>
          <w:tab w:val="left" w:pos="993"/>
        </w:tabs>
        <w:spacing w:line="276" w:lineRule="auto"/>
        <w:ind w:firstLine="0"/>
        <w:jc w:val="both"/>
        <w:rPr>
          <w:b/>
          <w:sz w:val="24"/>
          <w:szCs w:val="24"/>
          <w:lang w:val="ru-RU"/>
        </w:rPr>
      </w:pPr>
    </w:p>
    <w:p w:rsidR="003F1C75" w:rsidRPr="003C37C1" w:rsidRDefault="009A3A74" w:rsidP="003C37C1">
      <w:pPr>
        <w:pStyle w:val="21"/>
        <w:shd w:val="clear" w:color="auto" w:fill="auto"/>
        <w:tabs>
          <w:tab w:val="left" w:pos="788"/>
          <w:tab w:val="left" w:pos="993"/>
        </w:tabs>
        <w:spacing w:line="276" w:lineRule="auto"/>
        <w:ind w:firstLine="0"/>
        <w:jc w:val="both"/>
        <w:rPr>
          <w:sz w:val="24"/>
          <w:szCs w:val="24"/>
        </w:rPr>
      </w:pPr>
      <w:r w:rsidRPr="003C37C1">
        <w:rPr>
          <w:sz w:val="24"/>
          <w:szCs w:val="24"/>
          <w:lang w:val="ru-RU"/>
        </w:rPr>
        <w:t>4.</w:t>
      </w:r>
      <w:r w:rsidR="00112CC3" w:rsidRPr="003C37C1">
        <w:rPr>
          <w:sz w:val="24"/>
          <w:szCs w:val="24"/>
        </w:rPr>
        <w:t xml:space="preserve">СПЕЦИФИЧНИ </w:t>
      </w:r>
      <w:r w:rsidR="003F1C75" w:rsidRPr="003C37C1">
        <w:rPr>
          <w:sz w:val="24"/>
          <w:szCs w:val="24"/>
        </w:rPr>
        <w:t>ТЕХНИЧЕСКИ ИЗИСКВАНИЯ НА ВЪЗЛОЖИТЕЛЯ.</w:t>
      </w:r>
    </w:p>
    <w:p w:rsidR="006F64E7" w:rsidRPr="00791947" w:rsidRDefault="001C79D5" w:rsidP="003C37C1">
      <w:pPr>
        <w:pStyle w:val="21"/>
        <w:shd w:val="clear" w:color="auto" w:fill="auto"/>
        <w:tabs>
          <w:tab w:val="left" w:pos="788"/>
          <w:tab w:val="left" w:pos="993"/>
        </w:tabs>
        <w:spacing w:line="276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Докладите от обследване н</w:t>
      </w:r>
      <w:r w:rsidR="00A22881" w:rsidRPr="003C37C1">
        <w:rPr>
          <w:b/>
          <w:sz w:val="24"/>
          <w:szCs w:val="24"/>
        </w:rPr>
        <w:t>а енергийна ефективност следва задължително да отговаря на критериите, описани в следната таблица:</w:t>
      </w:r>
    </w:p>
    <w:p w:rsidR="00BA05B4" w:rsidRPr="003C37C1" w:rsidRDefault="00BA05B4" w:rsidP="003C37C1">
      <w:pPr>
        <w:pStyle w:val="21"/>
        <w:shd w:val="clear" w:color="auto" w:fill="auto"/>
        <w:tabs>
          <w:tab w:val="left" w:pos="788"/>
          <w:tab w:val="left" w:pos="993"/>
        </w:tabs>
        <w:spacing w:line="276" w:lineRule="auto"/>
        <w:ind w:firstLine="0"/>
        <w:jc w:val="right"/>
        <w:rPr>
          <w:sz w:val="24"/>
          <w:szCs w:val="24"/>
        </w:rPr>
      </w:pPr>
      <w:r w:rsidRPr="003C37C1">
        <w:rPr>
          <w:sz w:val="24"/>
          <w:szCs w:val="24"/>
        </w:rPr>
        <w:lastRenderedPageBreak/>
        <w:t>Таблица 1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930"/>
      </w:tblGrid>
      <w:tr w:rsidR="00A22881" w:rsidRPr="003C37C1" w:rsidTr="009510EE">
        <w:trPr>
          <w:trHeight w:val="46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22881" w:rsidRPr="003C37C1" w:rsidRDefault="00A22881" w:rsidP="003C37C1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№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22881" w:rsidRPr="003C37C1" w:rsidRDefault="00A22881" w:rsidP="003C3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Критерий</w:t>
            </w:r>
          </w:p>
        </w:tc>
      </w:tr>
      <w:tr w:rsidR="00A22881" w:rsidRPr="003C37C1" w:rsidTr="009510EE">
        <w:trPr>
          <w:trHeight w:val="706"/>
        </w:trPr>
        <w:tc>
          <w:tcPr>
            <w:tcW w:w="392" w:type="dxa"/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A22881" w:rsidRPr="003C37C1" w:rsidRDefault="00A22881" w:rsidP="003C37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 xml:space="preserve">Обследването за енергийна ефективност е извършено от лице, вписано в публичния регистър по чл. 60, ал. 1 от Закона за енергийната ефективност (ЗЕЕ), с екип съгласно регистрацията и докладът е подписан от управителя на лицето по чл. 60 от ЗЕЕ. </w:t>
            </w:r>
          </w:p>
        </w:tc>
      </w:tr>
      <w:tr w:rsidR="00A22881" w:rsidRPr="003C37C1" w:rsidTr="009510EE">
        <w:trPr>
          <w:trHeight w:val="561"/>
        </w:trPr>
        <w:tc>
          <w:tcPr>
            <w:tcW w:w="392" w:type="dxa"/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A22881" w:rsidRPr="003C37C1" w:rsidRDefault="00A22881" w:rsidP="003C37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Докладът от обследването за енергийна ефективност е изготвен в съответствие с наредбата по чл. 57, ал. 6 от Закона за енергийната ефективност, с включена информация по всички точки.</w:t>
            </w:r>
          </w:p>
        </w:tc>
      </w:tr>
      <w:tr w:rsidR="00A22881" w:rsidRPr="003C37C1" w:rsidTr="009510EE">
        <w:trPr>
          <w:trHeight w:val="399"/>
        </w:trPr>
        <w:tc>
          <w:tcPr>
            <w:tcW w:w="392" w:type="dxa"/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A22881" w:rsidRPr="003C37C1" w:rsidRDefault="00A22881" w:rsidP="003C37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 xml:space="preserve">Обследването за енергийна ефективност съдържа избор на класове за осветление в съответствие със стандартизационен документ за улично осветление СД CEN/TR 13201-1 </w:t>
            </w:r>
          </w:p>
        </w:tc>
      </w:tr>
      <w:tr w:rsidR="00A22881" w:rsidRPr="003C37C1" w:rsidTr="009510EE">
        <w:trPr>
          <w:trHeight w:val="399"/>
        </w:trPr>
        <w:tc>
          <w:tcPr>
            <w:tcW w:w="392" w:type="dxa"/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A22881" w:rsidRPr="003C37C1" w:rsidRDefault="00A22881" w:rsidP="003C37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Обследването за енергийна ефективност определя технически изисквания в съответствие със стандарта за улично осветление: БДС EN 13201-2</w:t>
            </w:r>
          </w:p>
        </w:tc>
      </w:tr>
      <w:tr w:rsidR="00A22881" w:rsidRPr="003C37C1" w:rsidTr="009510EE">
        <w:trPr>
          <w:trHeight w:val="399"/>
        </w:trPr>
        <w:tc>
          <w:tcPr>
            <w:tcW w:w="392" w:type="dxa"/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A22881" w:rsidRPr="003C37C1" w:rsidRDefault="00A22881" w:rsidP="003C37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 xml:space="preserve">Обследването за енергийна ефективност включва изчисляване на светлотехнически показатели в съответствие със стандарта за улично осветление: БДС EN 13201–3  </w:t>
            </w:r>
          </w:p>
        </w:tc>
      </w:tr>
      <w:tr w:rsidR="00A22881" w:rsidRPr="003C37C1" w:rsidTr="009510EE">
        <w:trPr>
          <w:trHeight w:val="399"/>
        </w:trPr>
        <w:tc>
          <w:tcPr>
            <w:tcW w:w="392" w:type="dxa"/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A22881" w:rsidRPr="003C37C1" w:rsidRDefault="00A22881" w:rsidP="003C37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Обследването за енергийна ефективност включва показатели за енергийна ефективност в съответствие със стандарта за улично осветление: БДС EN 13201–5.</w:t>
            </w:r>
          </w:p>
        </w:tc>
      </w:tr>
      <w:tr w:rsidR="00A22881" w:rsidRPr="003C37C1" w:rsidTr="009510EE">
        <w:trPr>
          <w:trHeight w:val="399"/>
        </w:trPr>
        <w:tc>
          <w:tcPr>
            <w:tcW w:w="392" w:type="dxa"/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A22881" w:rsidRPr="003C37C1" w:rsidRDefault="00A22881" w:rsidP="003C37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>Заключенията от обследването за енергийна ефективност са точни и правилни.</w:t>
            </w:r>
          </w:p>
        </w:tc>
      </w:tr>
      <w:tr w:rsidR="00A22881" w:rsidRPr="003C37C1" w:rsidTr="009510EE">
        <w:trPr>
          <w:trHeight w:val="4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81" w:rsidRPr="003C37C1" w:rsidRDefault="00A22881" w:rsidP="003C37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 xml:space="preserve">Предвидените с обследването осветители имат светлинен добив </w:t>
            </w:r>
            <w:r w:rsidRPr="003C37C1">
              <w:rPr>
                <w:b/>
                <w:sz w:val="24"/>
                <w:szCs w:val="24"/>
              </w:rPr>
              <w:t>равен или по-голям от 120 lm/W.</w:t>
            </w:r>
          </w:p>
        </w:tc>
      </w:tr>
      <w:tr w:rsidR="00A22881" w:rsidRPr="003C37C1" w:rsidTr="009510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81" w:rsidRPr="003C37C1" w:rsidRDefault="00A22881" w:rsidP="003C37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 xml:space="preserve">Предвидените с обследването осветители имат </w:t>
            </w:r>
            <w:r w:rsidRPr="003C37C1">
              <w:rPr>
                <w:b/>
                <w:sz w:val="24"/>
                <w:szCs w:val="24"/>
              </w:rPr>
              <w:t>светлоразпределение с 0.0%</w:t>
            </w:r>
            <w:r w:rsidRPr="003C37C1">
              <w:rPr>
                <w:sz w:val="24"/>
                <w:szCs w:val="24"/>
              </w:rPr>
              <w:t xml:space="preserve"> излъчване на светлинен поток нагоре.</w:t>
            </w:r>
          </w:p>
        </w:tc>
      </w:tr>
      <w:tr w:rsidR="00A22881" w:rsidRPr="003C37C1" w:rsidTr="009510EE">
        <w:trPr>
          <w:trHeight w:val="43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81" w:rsidRPr="003C37C1" w:rsidRDefault="00A22881" w:rsidP="003C37C1">
            <w:pPr>
              <w:pStyle w:val="af"/>
              <w:tabs>
                <w:tab w:val="left" w:pos="431"/>
              </w:tabs>
              <w:spacing w:line="276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 xml:space="preserve">Емисиите на парникови газове са изчислени при емисионен фактор </w:t>
            </w:r>
            <w:r w:rsidRPr="003C37C1">
              <w:rPr>
                <w:b/>
                <w:sz w:val="24"/>
                <w:szCs w:val="24"/>
              </w:rPr>
              <w:t>от 1,18  tCO</w:t>
            </w:r>
            <w:r w:rsidRPr="003C37C1">
              <w:rPr>
                <w:b/>
                <w:sz w:val="24"/>
                <w:szCs w:val="24"/>
                <w:vertAlign w:val="subscript"/>
              </w:rPr>
              <w:t>2</w:t>
            </w:r>
            <w:r w:rsidRPr="003C37C1">
              <w:rPr>
                <w:b/>
                <w:sz w:val="24"/>
                <w:szCs w:val="24"/>
              </w:rPr>
              <w:t>/MWh.</w:t>
            </w:r>
          </w:p>
        </w:tc>
      </w:tr>
      <w:tr w:rsidR="00A22881" w:rsidRPr="003C37C1" w:rsidTr="009510EE">
        <w:trPr>
          <w:trHeight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1" w:rsidRPr="003C37C1" w:rsidRDefault="00A22881" w:rsidP="003C37C1">
            <w:pPr>
              <w:numPr>
                <w:ilvl w:val="0"/>
                <w:numId w:val="6"/>
              </w:numPr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81" w:rsidRPr="003C37C1" w:rsidRDefault="00A22881" w:rsidP="003C37C1">
            <w:pPr>
              <w:pStyle w:val="af"/>
              <w:tabs>
                <w:tab w:val="left" w:pos="431"/>
              </w:tabs>
              <w:spacing w:line="276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3C37C1">
              <w:rPr>
                <w:sz w:val="24"/>
                <w:szCs w:val="24"/>
              </w:rPr>
              <w:t xml:space="preserve">Показателят </w:t>
            </w:r>
            <w:r w:rsidRPr="003C37C1">
              <w:rPr>
                <w:b/>
                <w:sz w:val="24"/>
                <w:szCs w:val="24"/>
              </w:rPr>
              <w:t xml:space="preserve">„срок на откупуване на инвестициите“ </w:t>
            </w:r>
            <w:r w:rsidRPr="003C37C1">
              <w:rPr>
                <w:sz w:val="24"/>
                <w:szCs w:val="24"/>
              </w:rPr>
              <w:t>за всяка една мярка е изчислен правилно.</w:t>
            </w:r>
          </w:p>
        </w:tc>
      </w:tr>
    </w:tbl>
    <w:p w:rsidR="00A22881" w:rsidRPr="003C37C1" w:rsidRDefault="00A22881" w:rsidP="003C37C1">
      <w:pPr>
        <w:spacing w:line="276" w:lineRule="auto"/>
        <w:rPr>
          <w:sz w:val="24"/>
          <w:szCs w:val="24"/>
        </w:rPr>
      </w:pPr>
    </w:p>
    <w:p w:rsidR="00A22881" w:rsidRPr="003C37C1" w:rsidRDefault="001C79D5" w:rsidP="003C37C1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Докладите</w:t>
      </w:r>
      <w:r w:rsidR="00A22881" w:rsidRPr="003C37C1">
        <w:rPr>
          <w:sz w:val="24"/>
          <w:szCs w:val="24"/>
        </w:rPr>
        <w:t xml:space="preserve"> от обследването за енергийна ефективност</w:t>
      </w:r>
      <w:r w:rsidR="00A22881" w:rsidRPr="003C37C1">
        <w:rPr>
          <w:b/>
          <w:sz w:val="24"/>
          <w:szCs w:val="24"/>
        </w:rPr>
        <w:t>задължително</w:t>
      </w:r>
      <w:r w:rsidR="00A22881" w:rsidRPr="003C37C1">
        <w:rPr>
          <w:sz w:val="24"/>
          <w:szCs w:val="24"/>
        </w:rPr>
        <w:t xml:space="preserve"> трябва да съдържа</w:t>
      </w:r>
      <w:r>
        <w:rPr>
          <w:sz w:val="24"/>
          <w:szCs w:val="24"/>
        </w:rPr>
        <w:t>т</w:t>
      </w:r>
      <w:r w:rsidR="00A22881" w:rsidRPr="003C37C1">
        <w:rPr>
          <w:sz w:val="24"/>
          <w:szCs w:val="24"/>
        </w:rPr>
        <w:t xml:space="preserve"> данни за следните показатели:</w:t>
      </w:r>
    </w:p>
    <w:p w:rsidR="00A22881" w:rsidRPr="005A3C04" w:rsidRDefault="00A22881" w:rsidP="003C37C1">
      <w:pPr>
        <w:pStyle w:val="af"/>
        <w:numPr>
          <w:ilvl w:val="1"/>
          <w:numId w:val="2"/>
        </w:numPr>
        <w:spacing w:line="276" w:lineRule="auto"/>
        <w:ind w:left="0"/>
        <w:rPr>
          <w:b/>
          <w:sz w:val="24"/>
          <w:szCs w:val="24"/>
        </w:rPr>
      </w:pPr>
      <w:r w:rsidRPr="005A3C04">
        <w:rPr>
          <w:i/>
          <w:color w:val="000000"/>
          <w:sz w:val="24"/>
          <w:szCs w:val="24"/>
        </w:rPr>
        <w:t>Прогнозни годишни намаления на емисиите на CO</w:t>
      </w:r>
      <w:r w:rsidRPr="005A3C04">
        <w:rPr>
          <w:i/>
          <w:color w:val="000000"/>
          <w:sz w:val="24"/>
          <w:szCs w:val="24"/>
          <w:vertAlign w:val="subscript"/>
        </w:rPr>
        <w:t>2</w:t>
      </w:r>
      <w:r w:rsidR="005A3C04" w:rsidRPr="005A3C04">
        <w:rPr>
          <w:i/>
          <w:color w:val="000000"/>
          <w:sz w:val="24"/>
          <w:szCs w:val="24"/>
          <w:vertAlign w:val="subscript"/>
        </w:rPr>
        <w:t>;</w:t>
      </w:r>
    </w:p>
    <w:p w:rsidR="00A22881" w:rsidRPr="005A3C04" w:rsidRDefault="00A22881" w:rsidP="003C37C1">
      <w:pPr>
        <w:pStyle w:val="af"/>
        <w:numPr>
          <w:ilvl w:val="1"/>
          <w:numId w:val="2"/>
        </w:numPr>
        <w:spacing w:line="276" w:lineRule="auto"/>
        <w:ind w:left="0"/>
        <w:rPr>
          <w:b/>
          <w:sz w:val="24"/>
          <w:szCs w:val="24"/>
        </w:rPr>
      </w:pPr>
      <w:r w:rsidRPr="005A3C04">
        <w:rPr>
          <w:i/>
          <w:color w:val="000000"/>
          <w:sz w:val="24"/>
          <w:szCs w:val="24"/>
        </w:rPr>
        <w:t>Прогнозни годишни енергийни спестявания</w:t>
      </w:r>
      <w:r w:rsidR="005A3C04" w:rsidRPr="005A3C04">
        <w:rPr>
          <w:i/>
          <w:color w:val="000000"/>
          <w:sz w:val="24"/>
          <w:szCs w:val="24"/>
        </w:rPr>
        <w:t>;</w:t>
      </w:r>
    </w:p>
    <w:p w:rsidR="00A22881" w:rsidRPr="005A3C04" w:rsidRDefault="00A22881" w:rsidP="003C37C1">
      <w:pPr>
        <w:pStyle w:val="af"/>
        <w:numPr>
          <w:ilvl w:val="1"/>
          <w:numId w:val="2"/>
        </w:numPr>
        <w:spacing w:line="276" w:lineRule="auto"/>
        <w:ind w:left="0"/>
        <w:rPr>
          <w:b/>
          <w:sz w:val="24"/>
          <w:szCs w:val="24"/>
        </w:rPr>
      </w:pPr>
      <w:r w:rsidRPr="005A3C04">
        <w:rPr>
          <w:i/>
          <w:color w:val="000000"/>
          <w:sz w:val="24"/>
          <w:szCs w:val="24"/>
        </w:rPr>
        <w:t>Прогнозни годишни парични спестявания</w:t>
      </w:r>
      <w:r w:rsidR="005A3C04" w:rsidRPr="005A3C04">
        <w:rPr>
          <w:i/>
          <w:color w:val="000000"/>
          <w:sz w:val="24"/>
          <w:szCs w:val="24"/>
        </w:rPr>
        <w:t>;</w:t>
      </w:r>
    </w:p>
    <w:p w:rsidR="00761207" w:rsidRPr="00761207" w:rsidRDefault="001C79D5" w:rsidP="00761207">
      <w:pPr>
        <w:spacing w:line="276" w:lineRule="auto"/>
        <w:ind w:firstLine="426"/>
        <w:jc w:val="both"/>
        <w:rPr>
          <w:color w:val="000000"/>
          <w:sz w:val="24"/>
          <w:szCs w:val="24"/>
          <w:lang w:val="ru-RU"/>
        </w:rPr>
      </w:pPr>
      <w:r>
        <w:rPr>
          <w:rFonts w:eastAsia="Calibri"/>
          <w:color w:val="000000" w:themeColor="text1"/>
          <w:sz w:val="24"/>
          <w:szCs w:val="24"/>
        </w:rPr>
        <w:t>Докладите</w:t>
      </w:r>
      <w:r w:rsidR="00761207">
        <w:rPr>
          <w:rFonts w:eastAsia="Calibri"/>
          <w:color w:val="000000" w:themeColor="text1"/>
          <w:sz w:val="24"/>
          <w:szCs w:val="24"/>
        </w:rPr>
        <w:t xml:space="preserve"> следва задължително да</w:t>
      </w:r>
      <w:r w:rsidR="00761207" w:rsidRPr="00761207">
        <w:rPr>
          <w:rFonts w:eastAsia="Calibri"/>
          <w:color w:val="000000" w:themeColor="text1"/>
          <w:sz w:val="24"/>
          <w:szCs w:val="24"/>
        </w:rPr>
        <w:t xml:space="preserve"> съдържа</w:t>
      </w:r>
      <w:r>
        <w:rPr>
          <w:rFonts w:eastAsia="Calibri"/>
          <w:color w:val="000000" w:themeColor="text1"/>
          <w:sz w:val="24"/>
          <w:szCs w:val="24"/>
        </w:rPr>
        <w:t>т</w:t>
      </w:r>
      <w:r w:rsidR="00761207" w:rsidRPr="00761207">
        <w:rPr>
          <w:rFonts w:eastAsia="Calibri"/>
          <w:color w:val="000000" w:themeColor="text1"/>
          <w:sz w:val="24"/>
          <w:szCs w:val="24"/>
        </w:rPr>
        <w:t xml:space="preserve"> данни за избрания вид осветител с данни за светлоразпределение, номинална мощност и светлинен поток, като стойността на светлинния добив да е не по-малко от 120 lm/W, а за светлоразпределение да са с 0.0% излъчване на светлинен поток нагоре</w:t>
      </w:r>
      <w:r w:rsidR="00761207">
        <w:rPr>
          <w:rFonts w:eastAsia="Calibri"/>
          <w:color w:val="000000" w:themeColor="text1"/>
          <w:sz w:val="24"/>
          <w:szCs w:val="24"/>
        </w:rPr>
        <w:t>,</w:t>
      </w:r>
      <w:r w:rsidR="00761207" w:rsidRPr="00761207">
        <w:rPr>
          <w:rFonts w:eastAsia="Calibri"/>
          <w:color w:val="000000" w:themeColor="text1"/>
          <w:sz w:val="24"/>
          <w:szCs w:val="24"/>
        </w:rPr>
        <w:t xml:space="preserve"> съгласно Критериите на Европейския съюз за зелени обществени поръчки за улично осветление и пътна сигнализация.</w:t>
      </w:r>
      <w:r w:rsidR="005871F0">
        <w:rPr>
          <w:sz w:val="24"/>
          <w:szCs w:val="24"/>
        </w:rPr>
        <w:t>Емисиите на парникови газове следва да се изчислят</w:t>
      </w:r>
      <w:r w:rsidR="005871F0" w:rsidRPr="003C37C1">
        <w:rPr>
          <w:sz w:val="24"/>
          <w:szCs w:val="24"/>
        </w:rPr>
        <w:t xml:space="preserve"> при емисионен фактор </w:t>
      </w:r>
      <w:r w:rsidR="005871F0" w:rsidRPr="003C37C1">
        <w:rPr>
          <w:b/>
          <w:sz w:val="24"/>
          <w:szCs w:val="24"/>
        </w:rPr>
        <w:t>от 1,18  tCO</w:t>
      </w:r>
      <w:r w:rsidR="005871F0" w:rsidRPr="003C37C1">
        <w:rPr>
          <w:b/>
          <w:sz w:val="24"/>
          <w:szCs w:val="24"/>
          <w:vertAlign w:val="subscript"/>
        </w:rPr>
        <w:t>2</w:t>
      </w:r>
      <w:r w:rsidR="005871F0" w:rsidRPr="003C37C1">
        <w:rPr>
          <w:b/>
          <w:sz w:val="24"/>
          <w:szCs w:val="24"/>
        </w:rPr>
        <w:t>/MWh.</w:t>
      </w:r>
    </w:p>
    <w:p w:rsidR="003F1C75" w:rsidRPr="003C37C1" w:rsidRDefault="003F1C75" w:rsidP="003C37C1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Изпълните</w:t>
      </w:r>
      <w:r w:rsidR="001C79D5">
        <w:rPr>
          <w:sz w:val="24"/>
          <w:szCs w:val="24"/>
        </w:rPr>
        <w:t>лят трябва да предложи в докладите</w:t>
      </w:r>
      <w:r w:rsidRPr="003C37C1">
        <w:rPr>
          <w:sz w:val="24"/>
          <w:szCs w:val="24"/>
        </w:rPr>
        <w:t xml:space="preserve"> от обследване</w:t>
      </w:r>
      <w:r w:rsidR="001C79D5">
        <w:rPr>
          <w:sz w:val="24"/>
          <w:szCs w:val="24"/>
        </w:rPr>
        <w:t xml:space="preserve">то </w:t>
      </w:r>
      <w:r w:rsidR="001C79D5">
        <w:rPr>
          <w:b/>
          <w:sz w:val="24"/>
          <w:szCs w:val="24"/>
        </w:rPr>
        <w:t>мерки за повишаване на енергийната ефективност</w:t>
      </w:r>
      <w:r w:rsidRPr="003C37C1">
        <w:rPr>
          <w:sz w:val="24"/>
          <w:szCs w:val="24"/>
        </w:rPr>
        <w:t xml:space="preserve">, </w:t>
      </w:r>
      <w:r w:rsidR="00C55C51" w:rsidRPr="003C37C1">
        <w:rPr>
          <w:sz w:val="24"/>
          <w:szCs w:val="24"/>
        </w:rPr>
        <w:t>включително</w:t>
      </w:r>
      <w:r w:rsidR="001C79D5">
        <w:rPr>
          <w:sz w:val="24"/>
          <w:szCs w:val="24"/>
        </w:rPr>
        <w:t xml:space="preserve"> чрез</w:t>
      </w:r>
      <w:r w:rsidR="00C55C51" w:rsidRPr="003C37C1">
        <w:rPr>
          <w:sz w:val="24"/>
          <w:szCs w:val="24"/>
        </w:rPr>
        <w:t xml:space="preserve"> въвеждане на </w:t>
      </w:r>
      <w:r w:rsidR="00C55C51" w:rsidRPr="001C79D5">
        <w:rPr>
          <w:b/>
          <w:sz w:val="24"/>
          <w:szCs w:val="24"/>
        </w:rPr>
        <w:t>възобновяеми източници</w:t>
      </w:r>
      <w:r w:rsidR="00C55C51" w:rsidRPr="003C37C1">
        <w:rPr>
          <w:sz w:val="24"/>
          <w:szCs w:val="24"/>
        </w:rPr>
        <w:t xml:space="preserve">, </w:t>
      </w:r>
      <w:r w:rsidRPr="003C37C1">
        <w:rPr>
          <w:sz w:val="24"/>
          <w:szCs w:val="24"/>
        </w:rPr>
        <w:t xml:space="preserve">технологични решения, адаптивно улично осветление, </w:t>
      </w:r>
      <w:r w:rsidR="00112CC3" w:rsidRPr="003C37C1">
        <w:rPr>
          <w:sz w:val="24"/>
          <w:szCs w:val="24"/>
        </w:rPr>
        <w:t xml:space="preserve">предложения за </w:t>
      </w:r>
      <w:r w:rsidRPr="001C79D5">
        <w:rPr>
          <w:b/>
          <w:sz w:val="24"/>
          <w:szCs w:val="24"/>
        </w:rPr>
        <w:t>автом</w:t>
      </w:r>
      <w:r w:rsidR="009510EE" w:rsidRPr="001C79D5">
        <w:rPr>
          <w:b/>
          <w:sz w:val="24"/>
          <w:szCs w:val="24"/>
        </w:rPr>
        <w:t>атизирана система за управление</w:t>
      </w:r>
      <w:r w:rsidR="009510EE" w:rsidRPr="003C37C1">
        <w:rPr>
          <w:sz w:val="24"/>
          <w:szCs w:val="24"/>
        </w:rPr>
        <w:t xml:space="preserve"> и за</w:t>
      </w:r>
      <w:r w:rsidRPr="001C79D5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 xml:space="preserve">система за </w:t>
      </w:r>
      <w:r w:rsidR="005A3C04" w:rsidRPr="001C79D5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 xml:space="preserve">мониторинг </w:t>
      </w:r>
      <w:r w:rsidR="005A3C04" w:rsidRPr="001C79D5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lastRenderedPageBreak/>
        <w:t>н</w:t>
      </w:r>
      <w:r w:rsidRPr="001C79D5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а потреблението на електрическа енергия</w:t>
      </w:r>
      <w:r w:rsidRPr="003C37C1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(</w:t>
      </w:r>
      <w:r w:rsidRPr="003C37C1">
        <w:rPr>
          <w:rFonts w:eastAsia="Calibri"/>
          <w:color w:val="000000" w:themeColor="text1"/>
          <w:sz w:val="24"/>
          <w:szCs w:val="24"/>
        </w:rPr>
        <w:t>средства за измерване и контрол на потреблението на електрическа енергия)</w:t>
      </w:r>
      <w:r w:rsidR="009510EE" w:rsidRPr="003C37C1">
        <w:rPr>
          <w:sz w:val="24"/>
          <w:szCs w:val="24"/>
        </w:rPr>
        <w:t>.</w:t>
      </w:r>
    </w:p>
    <w:p w:rsidR="00126020" w:rsidRPr="003C37C1" w:rsidRDefault="00126020" w:rsidP="003C37C1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Доклад</w:t>
      </w:r>
      <w:r w:rsidR="001C79D5">
        <w:rPr>
          <w:sz w:val="24"/>
          <w:szCs w:val="24"/>
        </w:rPr>
        <w:t>ите</w:t>
      </w:r>
      <w:r w:rsidRPr="003C37C1">
        <w:rPr>
          <w:sz w:val="24"/>
          <w:szCs w:val="24"/>
        </w:rPr>
        <w:t xml:space="preserve"> следва да предлага</w:t>
      </w:r>
      <w:r w:rsidR="00551C0E">
        <w:rPr>
          <w:sz w:val="24"/>
          <w:szCs w:val="24"/>
        </w:rPr>
        <w:t>т</w:t>
      </w:r>
      <w:r w:rsidRPr="003C37C1">
        <w:rPr>
          <w:b/>
          <w:sz w:val="24"/>
          <w:szCs w:val="24"/>
        </w:rPr>
        <w:t>минимум</w:t>
      </w:r>
      <w:r w:rsidR="006F64E7">
        <w:rPr>
          <w:sz w:val="24"/>
          <w:szCs w:val="24"/>
        </w:rPr>
        <w:t xml:space="preserve"> следните</w:t>
      </w:r>
      <w:r w:rsidR="001C79D5" w:rsidRPr="00551C0E">
        <w:rPr>
          <w:b/>
          <w:sz w:val="24"/>
          <w:szCs w:val="24"/>
        </w:rPr>
        <w:t xml:space="preserve">мерки </w:t>
      </w:r>
      <w:r w:rsidR="001C79D5">
        <w:rPr>
          <w:sz w:val="24"/>
          <w:szCs w:val="24"/>
        </w:rPr>
        <w:t xml:space="preserve">за повишаване на енергийната ефективност на системите за улично осветление </w:t>
      </w:r>
      <w:r w:rsidRPr="003C37C1">
        <w:rPr>
          <w:sz w:val="24"/>
          <w:szCs w:val="24"/>
        </w:rPr>
        <w:t>:</w:t>
      </w:r>
    </w:p>
    <w:p w:rsidR="00126020" w:rsidRPr="003C37C1" w:rsidRDefault="00126020" w:rsidP="003C37C1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C37C1">
        <w:rPr>
          <w:sz w:val="24"/>
          <w:szCs w:val="24"/>
        </w:rPr>
        <w:t>1)</w:t>
      </w:r>
      <w:r w:rsidR="006B3961" w:rsidRPr="003C37C1">
        <w:rPr>
          <w:sz w:val="24"/>
          <w:szCs w:val="24"/>
        </w:rPr>
        <w:t xml:space="preserve"> Подмяна на същ</w:t>
      </w:r>
      <w:r w:rsidR="00042CCA" w:rsidRPr="003C37C1">
        <w:rPr>
          <w:sz w:val="24"/>
          <w:szCs w:val="24"/>
        </w:rPr>
        <w:t>ествуващите осветители със светодиоднимощности, осигуряващи нормативните изисквания за съответния клас улици</w:t>
      </w:r>
      <w:r w:rsidR="004A50EA" w:rsidRPr="003C37C1">
        <w:rPr>
          <w:sz w:val="24"/>
          <w:szCs w:val="24"/>
          <w:lang w:val="ru-RU"/>
        </w:rPr>
        <w:t>;</w:t>
      </w:r>
    </w:p>
    <w:p w:rsidR="00126020" w:rsidRPr="003C37C1" w:rsidRDefault="00126020" w:rsidP="003C37C1">
      <w:pPr>
        <w:pStyle w:val="21"/>
        <w:shd w:val="clear" w:color="auto" w:fill="auto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C37C1">
        <w:rPr>
          <w:sz w:val="24"/>
          <w:szCs w:val="24"/>
        </w:rPr>
        <w:t xml:space="preserve">2) Въвеждане на технология </w:t>
      </w:r>
      <w:r w:rsidR="00D21B7C">
        <w:rPr>
          <w:sz w:val="24"/>
          <w:szCs w:val="24"/>
        </w:rPr>
        <w:t>използваща слънчева енергия</w:t>
      </w:r>
      <w:r w:rsidR="005A3C04">
        <w:rPr>
          <w:sz w:val="24"/>
          <w:szCs w:val="24"/>
        </w:rPr>
        <w:t>.</w:t>
      </w:r>
    </w:p>
    <w:p w:rsidR="003F1C75" w:rsidRPr="003C37C1" w:rsidRDefault="00A22881" w:rsidP="003C37C1">
      <w:pPr>
        <w:pStyle w:val="21"/>
        <w:shd w:val="clear" w:color="auto" w:fill="auto"/>
        <w:tabs>
          <w:tab w:val="left" w:pos="1134"/>
          <w:tab w:val="left" w:pos="1581"/>
        </w:tabs>
        <w:spacing w:line="276" w:lineRule="auto"/>
        <w:ind w:firstLine="709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Доклад</w:t>
      </w:r>
      <w:r w:rsidR="001C79D5">
        <w:rPr>
          <w:sz w:val="24"/>
          <w:szCs w:val="24"/>
        </w:rPr>
        <w:t>ите</w:t>
      </w:r>
      <w:r w:rsidRPr="003C37C1">
        <w:rPr>
          <w:sz w:val="24"/>
          <w:szCs w:val="24"/>
        </w:rPr>
        <w:t xml:space="preserve"> следва да включва и </w:t>
      </w:r>
      <w:r w:rsidR="003F1C75" w:rsidRPr="003C37C1">
        <w:rPr>
          <w:sz w:val="24"/>
          <w:szCs w:val="24"/>
        </w:rPr>
        <w:t>технико-икономически анализи, показващи очакваната възвръщаемост на капиталовложенията</w:t>
      </w:r>
      <w:r w:rsidR="00062D67" w:rsidRPr="003C37C1">
        <w:rPr>
          <w:sz w:val="24"/>
          <w:szCs w:val="24"/>
        </w:rPr>
        <w:t xml:space="preserve"> и разходите за поддръжка </w:t>
      </w:r>
      <w:r w:rsidR="003F1C75" w:rsidRPr="003C37C1">
        <w:rPr>
          <w:sz w:val="24"/>
          <w:szCs w:val="24"/>
        </w:rPr>
        <w:t>след реализация на мерките за енергийна ефективност.</w:t>
      </w:r>
    </w:p>
    <w:p w:rsidR="003F1C75" w:rsidRPr="003C37C1" w:rsidRDefault="003F1C75" w:rsidP="003C37C1">
      <w:pPr>
        <w:pStyle w:val="Heading10"/>
        <w:shd w:val="clear" w:color="auto" w:fill="auto"/>
        <w:spacing w:after="0" w:line="276" w:lineRule="auto"/>
        <w:ind w:firstLine="709"/>
        <w:jc w:val="both"/>
        <w:outlineLvl w:val="9"/>
        <w:rPr>
          <w:sz w:val="24"/>
          <w:szCs w:val="24"/>
        </w:rPr>
      </w:pPr>
      <w:r w:rsidRPr="003C37C1">
        <w:rPr>
          <w:b/>
          <w:sz w:val="24"/>
          <w:szCs w:val="24"/>
        </w:rPr>
        <w:t>Обхват на обследването</w:t>
      </w:r>
      <w:r w:rsidRPr="003C37C1">
        <w:rPr>
          <w:sz w:val="24"/>
          <w:szCs w:val="24"/>
        </w:rPr>
        <w:t>:</w:t>
      </w:r>
    </w:p>
    <w:p w:rsidR="003F1C75" w:rsidRPr="003C37C1" w:rsidRDefault="003F1C75" w:rsidP="003C37C1">
      <w:pPr>
        <w:pStyle w:val="Heading10"/>
        <w:shd w:val="clear" w:color="auto" w:fill="auto"/>
        <w:spacing w:after="0" w:line="276" w:lineRule="auto"/>
        <w:ind w:firstLine="709"/>
        <w:jc w:val="both"/>
        <w:outlineLvl w:val="9"/>
        <w:rPr>
          <w:sz w:val="24"/>
          <w:szCs w:val="24"/>
        </w:rPr>
      </w:pPr>
      <w:r w:rsidRPr="003C37C1">
        <w:rPr>
          <w:sz w:val="24"/>
          <w:szCs w:val="24"/>
        </w:rPr>
        <w:t>Обследване</w:t>
      </w:r>
      <w:r w:rsidR="00A1500E" w:rsidRPr="003C37C1">
        <w:rPr>
          <w:sz w:val="24"/>
          <w:szCs w:val="24"/>
        </w:rPr>
        <w:t>то</w:t>
      </w:r>
      <w:r w:rsidRPr="003C37C1">
        <w:rPr>
          <w:sz w:val="24"/>
          <w:szCs w:val="24"/>
        </w:rPr>
        <w:t xml:space="preserve"> за енергийна </w:t>
      </w:r>
      <w:r w:rsidR="00A1500E" w:rsidRPr="003C37C1">
        <w:rPr>
          <w:sz w:val="24"/>
          <w:szCs w:val="24"/>
        </w:rPr>
        <w:t>ефективност на системите</w:t>
      </w:r>
      <w:r w:rsidRPr="003C37C1">
        <w:rPr>
          <w:sz w:val="24"/>
          <w:szCs w:val="24"/>
        </w:rPr>
        <w:t xml:space="preserve"> за улично осветление включва изброените в т.2.</w:t>
      </w:r>
      <w:r w:rsidR="00501229">
        <w:rPr>
          <w:sz w:val="24"/>
          <w:szCs w:val="24"/>
        </w:rPr>
        <w:t>3.</w:t>
      </w:r>
      <w:r w:rsidRPr="003C37C1">
        <w:rPr>
          <w:sz w:val="24"/>
          <w:szCs w:val="24"/>
        </w:rPr>
        <w:t xml:space="preserve"> населени места от община Добричка</w:t>
      </w:r>
      <w:r w:rsidR="00A1500E" w:rsidRPr="003C37C1">
        <w:rPr>
          <w:sz w:val="24"/>
          <w:szCs w:val="24"/>
        </w:rPr>
        <w:t>. Инсталираната мощност за улично осветление към м.Декември 2019г. по населени места е представена в таблицата по-долу:</w:t>
      </w:r>
    </w:p>
    <w:p w:rsidR="00BA05B4" w:rsidRPr="003C37C1" w:rsidRDefault="00BA05B4" w:rsidP="003C37C1">
      <w:pPr>
        <w:pStyle w:val="21"/>
        <w:shd w:val="clear" w:color="auto" w:fill="auto"/>
        <w:tabs>
          <w:tab w:val="left" w:pos="788"/>
          <w:tab w:val="left" w:pos="993"/>
        </w:tabs>
        <w:spacing w:line="276" w:lineRule="auto"/>
        <w:ind w:firstLine="0"/>
        <w:jc w:val="right"/>
        <w:rPr>
          <w:sz w:val="24"/>
          <w:szCs w:val="24"/>
          <w:lang w:val="ru-RU"/>
        </w:rPr>
      </w:pPr>
      <w:r w:rsidRPr="003C37C1">
        <w:rPr>
          <w:sz w:val="24"/>
          <w:szCs w:val="24"/>
        </w:rPr>
        <w:t>Таблица 2</w:t>
      </w:r>
    </w:p>
    <w:tbl>
      <w:tblPr>
        <w:tblW w:w="92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13"/>
        <w:gridCol w:w="1362"/>
        <w:gridCol w:w="1757"/>
        <w:gridCol w:w="2551"/>
        <w:gridCol w:w="1877"/>
      </w:tblGrid>
      <w:tr w:rsidR="00920FBB" w:rsidRPr="00D21B7C" w:rsidTr="00D21B7C">
        <w:tc>
          <w:tcPr>
            <w:tcW w:w="1713" w:type="dxa"/>
            <w:shd w:val="clear" w:color="auto" w:fill="auto"/>
            <w:hideMark/>
          </w:tcPr>
          <w:p w:rsidR="00920FBB" w:rsidRPr="00D21B7C" w:rsidRDefault="00920FBB" w:rsidP="00F730CF">
            <w:pPr>
              <w:rPr>
                <w:b/>
                <w:bCs/>
                <w:sz w:val="22"/>
                <w:szCs w:val="22"/>
              </w:rPr>
            </w:pPr>
            <w:r w:rsidRPr="00D21B7C">
              <w:rPr>
                <w:b/>
                <w:bCs/>
                <w:sz w:val="22"/>
                <w:szCs w:val="22"/>
              </w:rPr>
              <w:t>Населено място</w:t>
            </w:r>
          </w:p>
        </w:tc>
        <w:tc>
          <w:tcPr>
            <w:tcW w:w="1362" w:type="dxa"/>
            <w:shd w:val="clear" w:color="auto" w:fill="auto"/>
            <w:hideMark/>
          </w:tcPr>
          <w:p w:rsidR="00920FBB" w:rsidRPr="00D21B7C" w:rsidRDefault="00920FBB" w:rsidP="00F730CF">
            <w:pPr>
              <w:jc w:val="center"/>
              <w:rPr>
                <w:b/>
                <w:bCs/>
                <w:sz w:val="22"/>
                <w:szCs w:val="22"/>
              </w:rPr>
            </w:pPr>
            <w:r w:rsidRPr="00D21B7C">
              <w:rPr>
                <w:b/>
                <w:bCs/>
                <w:sz w:val="22"/>
                <w:szCs w:val="22"/>
              </w:rPr>
              <w:t>Дължина на улиците, км</w:t>
            </w:r>
          </w:p>
        </w:tc>
        <w:tc>
          <w:tcPr>
            <w:tcW w:w="1757" w:type="dxa"/>
            <w:shd w:val="clear" w:color="auto" w:fill="auto"/>
            <w:hideMark/>
          </w:tcPr>
          <w:p w:rsidR="00920FBB" w:rsidRPr="00D21B7C" w:rsidRDefault="00920FBB" w:rsidP="00F730CF">
            <w:pPr>
              <w:jc w:val="center"/>
              <w:rPr>
                <w:b/>
                <w:bCs/>
                <w:sz w:val="22"/>
                <w:szCs w:val="22"/>
              </w:rPr>
            </w:pPr>
            <w:r w:rsidRPr="00D21B7C">
              <w:rPr>
                <w:b/>
                <w:bCs/>
                <w:sz w:val="22"/>
                <w:szCs w:val="22"/>
              </w:rPr>
              <w:t>Брой осветителни тела</w:t>
            </w:r>
          </w:p>
        </w:tc>
        <w:tc>
          <w:tcPr>
            <w:tcW w:w="2551" w:type="dxa"/>
            <w:shd w:val="clear" w:color="auto" w:fill="auto"/>
            <w:hideMark/>
          </w:tcPr>
          <w:p w:rsidR="00920FBB" w:rsidRPr="00D21B7C" w:rsidRDefault="00920FBB" w:rsidP="00F730CF">
            <w:pPr>
              <w:jc w:val="center"/>
              <w:rPr>
                <w:b/>
                <w:bCs/>
                <w:sz w:val="22"/>
                <w:szCs w:val="22"/>
              </w:rPr>
            </w:pPr>
            <w:r w:rsidRPr="00D21B7C">
              <w:rPr>
                <w:b/>
                <w:bCs/>
                <w:sz w:val="22"/>
                <w:szCs w:val="22"/>
              </w:rPr>
              <w:t>Вид на осветителните тела</w:t>
            </w:r>
          </w:p>
        </w:tc>
        <w:tc>
          <w:tcPr>
            <w:tcW w:w="1877" w:type="dxa"/>
            <w:shd w:val="clear" w:color="auto" w:fill="auto"/>
            <w:hideMark/>
          </w:tcPr>
          <w:p w:rsidR="00920FBB" w:rsidRPr="00D21B7C" w:rsidRDefault="00920FBB" w:rsidP="00F730CF">
            <w:pPr>
              <w:jc w:val="center"/>
              <w:rPr>
                <w:b/>
                <w:bCs/>
                <w:sz w:val="22"/>
                <w:szCs w:val="22"/>
              </w:rPr>
            </w:pPr>
            <w:r w:rsidRPr="00D21B7C">
              <w:rPr>
                <w:b/>
                <w:bCs/>
                <w:sz w:val="22"/>
                <w:szCs w:val="22"/>
              </w:rPr>
              <w:t>Обща инсталирана мощност, kW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ОДЪРЦИ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5,2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УОТ:</w:t>
            </w:r>
          </w:p>
        </w:tc>
        <w:tc>
          <w:tcPr>
            <w:tcW w:w="2551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77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3,496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65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18W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 парково осветление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БАТОВО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5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УОТ:</w:t>
            </w:r>
          </w:p>
        </w:tc>
        <w:tc>
          <w:tcPr>
            <w:tcW w:w="2551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115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4,826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LED 30W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86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БЕНКОВСКИ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20,3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УОТ:</w:t>
            </w:r>
          </w:p>
        </w:tc>
        <w:tc>
          <w:tcPr>
            <w:tcW w:w="2551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221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8,717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158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63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18W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 xml:space="preserve">ПОБЕДА 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15,57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УОТ:</w:t>
            </w:r>
          </w:p>
        </w:tc>
        <w:tc>
          <w:tcPr>
            <w:tcW w:w="2551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243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9,085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152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91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18W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ДОНЧЕВО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9,7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УОТ:</w:t>
            </w:r>
          </w:p>
        </w:tc>
        <w:tc>
          <w:tcPr>
            <w:tcW w:w="2551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266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8,688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LED 50W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156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18W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КАРАПЕЛИТ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22,3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УОТ:</w:t>
            </w:r>
          </w:p>
        </w:tc>
        <w:tc>
          <w:tcPr>
            <w:tcW w:w="2551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247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8,441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18W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ЛОВЧАНЦИ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17,8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УОТ:</w:t>
            </w:r>
          </w:p>
        </w:tc>
        <w:tc>
          <w:tcPr>
            <w:tcW w:w="2551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211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7,725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77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18W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 - парково осветление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ПАСКАЛЕВО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21,9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УОТ:</w:t>
            </w:r>
          </w:p>
        </w:tc>
        <w:tc>
          <w:tcPr>
            <w:tcW w:w="2551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302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10,540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63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LED  30W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LED  30W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92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18W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99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 xml:space="preserve">250W прожектори на </w:t>
            </w:r>
            <w:r w:rsidRPr="00D21B7C">
              <w:rPr>
                <w:sz w:val="22"/>
                <w:szCs w:val="22"/>
              </w:rPr>
              <w:lastRenderedPageBreak/>
              <w:t>читалището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lastRenderedPageBreak/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lastRenderedPageBreak/>
              <w:t>СТЕФАНОВО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13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УОТ:</w:t>
            </w:r>
          </w:p>
        </w:tc>
        <w:tc>
          <w:tcPr>
            <w:tcW w:w="2551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248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8,493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30W LED сфери Е27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20W ЕСЛ парково осветление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101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18W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СТОЖЕР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18,6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УОТ:</w:t>
            </w:r>
          </w:p>
        </w:tc>
        <w:tc>
          <w:tcPr>
            <w:tcW w:w="2551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275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11,716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49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LED  50W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LED  30W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173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36W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48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ЕСЛ 20W - парково осветление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</w:tr>
      <w:tr w:rsidR="00920FBB" w:rsidRPr="00D21B7C" w:rsidTr="00D21B7C">
        <w:tc>
          <w:tcPr>
            <w:tcW w:w="1713" w:type="dxa"/>
            <w:shd w:val="clear" w:color="000000" w:fill="FFC000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Общо за всички населени места:</w:t>
            </w:r>
          </w:p>
        </w:tc>
        <w:tc>
          <w:tcPr>
            <w:tcW w:w="1362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149,37</w:t>
            </w:r>
          </w:p>
        </w:tc>
        <w:tc>
          <w:tcPr>
            <w:tcW w:w="175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2205,000</w:t>
            </w:r>
          </w:p>
        </w:tc>
        <w:tc>
          <w:tcPr>
            <w:tcW w:w="2551" w:type="dxa"/>
            <w:shd w:val="clear" w:color="000000" w:fill="FFC000"/>
            <w:vAlign w:val="center"/>
            <w:hideMark/>
          </w:tcPr>
          <w:p w:rsidR="00920FBB" w:rsidRPr="00D21B7C" w:rsidRDefault="00920FBB" w:rsidP="00F730CF">
            <w:pPr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 </w:t>
            </w:r>
          </w:p>
        </w:tc>
        <w:tc>
          <w:tcPr>
            <w:tcW w:w="1877" w:type="dxa"/>
            <w:shd w:val="clear" w:color="000000" w:fill="FFC000"/>
            <w:noWrap/>
            <w:vAlign w:val="center"/>
            <w:hideMark/>
          </w:tcPr>
          <w:p w:rsidR="00920FBB" w:rsidRPr="00D21B7C" w:rsidRDefault="00920FBB" w:rsidP="00F730CF">
            <w:pPr>
              <w:jc w:val="right"/>
              <w:rPr>
                <w:sz w:val="22"/>
                <w:szCs w:val="22"/>
              </w:rPr>
            </w:pPr>
            <w:r w:rsidRPr="00D21B7C">
              <w:rPr>
                <w:sz w:val="22"/>
                <w:szCs w:val="22"/>
              </w:rPr>
              <w:t>81,727</w:t>
            </w:r>
          </w:p>
        </w:tc>
      </w:tr>
    </w:tbl>
    <w:p w:rsidR="003F1C75" w:rsidRPr="003C37C1" w:rsidRDefault="002D69D9" w:rsidP="003C37C1">
      <w:pPr>
        <w:pStyle w:val="21"/>
        <w:spacing w:line="276" w:lineRule="auto"/>
        <w:ind w:firstLine="0"/>
        <w:rPr>
          <w:sz w:val="24"/>
          <w:szCs w:val="24"/>
          <w:lang w:val="ru-RU"/>
        </w:rPr>
      </w:pPr>
      <w:r w:rsidRPr="003C37C1">
        <w:rPr>
          <w:sz w:val="24"/>
          <w:szCs w:val="24"/>
        </w:rPr>
        <w:t>Забележка:ЕСЛ - енергоспестяваща лампа</w:t>
      </w:r>
      <w:r w:rsidR="00B51282" w:rsidRPr="003C37C1">
        <w:rPr>
          <w:sz w:val="24"/>
          <w:szCs w:val="24"/>
          <w:lang w:val="ru-RU"/>
        </w:rPr>
        <w:t xml:space="preserve">; </w:t>
      </w:r>
      <w:r w:rsidRPr="003C37C1">
        <w:rPr>
          <w:sz w:val="24"/>
          <w:szCs w:val="24"/>
        </w:rPr>
        <w:t>LED - светодиодно осветително тяло</w:t>
      </w:r>
      <w:r w:rsidR="00B51282" w:rsidRPr="003C37C1">
        <w:rPr>
          <w:sz w:val="24"/>
          <w:szCs w:val="24"/>
          <w:lang w:val="ru-RU"/>
        </w:rPr>
        <w:t xml:space="preserve">; </w:t>
      </w:r>
      <w:r w:rsidR="002801FB" w:rsidRPr="003C37C1">
        <w:rPr>
          <w:sz w:val="24"/>
          <w:szCs w:val="24"/>
        </w:rPr>
        <w:t>УОТ</w:t>
      </w:r>
      <w:r w:rsidR="002801FB" w:rsidRPr="003C37C1">
        <w:rPr>
          <w:sz w:val="24"/>
          <w:szCs w:val="24"/>
          <w:lang w:val="ru-RU"/>
        </w:rPr>
        <w:t>-</w:t>
      </w:r>
      <w:r w:rsidRPr="003C37C1">
        <w:rPr>
          <w:sz w:val="24"/>
          <w:szCs w:val="24"/>
        </w:rPr>
        <w:t xml:space="preserve"> улично осветително тяло</w:t>
      </w:r>
    </w:p>
    <w:p w:rsidR="003F1C75" w:rsidRPr="003C37C1" w:rsidRDefault="003F1C75" w:rsidP="003C37C1">
      <w:pPr>
        <w:pStyle w:val="21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</w:p>
    <w:p w:rsidR="003F1C75" w:rsidRPr="003C37C1" w:rsidRDefault="00263915" w:rsidP="003C37C1">
      <w:pPr>
        <w:pStyle w:val="Bodytext30"/>
        <w:shd w:val="clear" w:color="auto" w:fill="auto"/>
        <w:spacing w:before="0" w:line="276" w:lineRule="auto"/>
        <w:ind w:firstLine="708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5</w:t>
      </w:r>
      <w:r w:rsidR="003F1C75" w:rsidRPr="003C37C1">
        <w:rPr>
          <w:sz w:val="24"/>
          <w:szCs w:val="24"/>
        </w:rPr>
        <w:t>. НАЛИЧНА ДОКУМЕНТАЦИЯ</w:t>
      </w:r>
    </w:p>
    <w:p w:rsidR="003F1C75" w:rsidRPr="003C37C1" w:rsidRDefault="002367D5" w:rsidP="003C37C1">
      <w:pPr>
        <w:pStyle w:val="Bodytext30"/>
        <w:shd w:val="clear" w:color="auto" w:fill="auto"/>
        <w:spacing w:before="0" w:line="276" w:lineRule="auto"/>
        <w:ind w:firstLine="708"/>
        <w:jc w:val="both"/>
        <w:rPr>
          <w:sz w:val="24"/>
          <w:szCs w:val="24"/>
        </w:rPr>
      </w:pPr>
      <w:r w:rsidRPr="003C37C1">
        <w:rPr>
          <w:sz w:val="24"/>
          <w:szCs w:val="24"/>
        </w:rPr>
        <w:t>Възложителят ще предостави</w:t>
      </w:r>
      <w:r w:rsidR="003F1C75" w:rsidRPr="003C37C1">
        <w:rPr>
          <w:sz w:val="24"/>
          <w:szCs w:val="24"/>
        </w:rPr>
        <w:t xml:space="preserve"> на изпълнителя документи, данни и информация, необходими за изпълнението на дейностите, съгласно настоящата техническа спецификация.</w:t>
      </w:r>
    </w:p>
    <w:p w:rsidR="00112CC3" w:rsidRDefault="00263915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709"/>
        <w:jc w:val="both"/>
        <w:rPr>
          <w:sz w:val="24"/>
          <w:szCs w:val="24"/>
          <w:lang w:val="en-US"/>
        </w:rPr>
      </w:pPr>
      <w:r w:rsidRPr="003C37C1">
        <w:rPr>
          <w:sz w:val="24"/>
          <w:szCs w:val="24"/>
        </w:rPr>
        <w:t>6</w:t>
      </w:r>
      <w:r w:rsidR="00112CC3" w:rsidRPr="003C37C1">
        <w:rPr>
          <w:sz w:val="24"/>
          <w:szCs w:val="24"/>
        </w:rPr>
        <w:t>. ПРИЕМАНЕ НА ИЗПЪЛНЕНИЕТО</w:t>
      </w:r>
    </w:p>
    <w:p w:rsidR="00EF0DEB" w:rsidRPr="00E24281" w:rsidRDefault="00EF0DEB" w:rsidP="00EF0DEB">
      <w:pPr>
        <w:shd w:val="clear" w:color="auto" w:fill="FEFEFE"/>
        <w:ind w:firstLine="709"/>
        <w:jc w:val="both"/>
        <w:rPr>
          <w:b/>
          <w:bCs/>
          <w:sz w:val="24"/>
          <w:szCs w:val="24"/>
        </w:rPr>
      </w:pPr>
      <w:r w:rsidRPr="00E24281">
        <w:rPr>
          <w:sz w:val="24"/>
          <w:szCs w:val="24"/>
        </w:rPr>
        <w:t>Срокът за изпълнение</w:t>
      </w:r>
      <w:r>
        <w:rPr>
          <w:sz w:val="24"/>
          <w:szCs w:val="24"/>
        </w:rPr>
        <w:t xml:space="preserve"> и предаване на резултатите  от</w:t>
      </w:r>
      <w:r w:rsidRPr="00E24281">
        <w:rPr>
          <w:sz w:val="24"/>
          <w:szCs w:val="24"/>
        </w:rPr>
        <w:t xml:space="preserve"> поръчката е по предложение на участника, но </w:t>
      </w:r>
      <w:r w:rsidR="00BE1D49">
        <w:rPr>
          <w:rStyle w:val="BodytextBold"/>
          <w:rFonts w:eastAsia="Arial Unicode MS"/>
          <w:sz w:val="24"/>
          <w:szCs w:val="24"/>
        </w:rPr>
        <w:t xml:space="preserve">не по-късно от </w:t>
      </w:r>
      <w:r w:rsidR="001A48F7">
        <w:rPr>
          <w:rStyle w:val="BodytextBold"/>
          <w:rFonts w:eastAsia="Arial Unicode MS"/>
          <w:sz w:val="24"/>
          <w:szCs w:val="24"/>
        </w:rPr>
        <w:t>20</w:t>
      </w:r>
      <w:r>
        <w:rPr>
          <w:rStyle w:val="BodytextBold"/>
          <w:rFonts w:eastAsia="Arial Unicode MS"/>
          <w:sz w:val="24"/>
          <w:szCs w:val="24"/>
        </w:rPr>
        <w:t>.01.2020г.</w:t>
      </w:r>
    </w:p>
    <w:p w:rsidR="00EF0DEB" w:rsidRPr="00E24281" w:rsidRDefault="00EF0DEB" w:rsidP="00EF0DEB">
      <w:pPr>
        <w:pStyle w:val="31"/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4281">
        <w:rPr>
          <w:rFonts w:ascii="Times New Roman" w:hAnsi="Times New Roman"/>
          <w:sz w:val="24"/>
          <w:szCs w:val="24"/>
        </w:rPr>
        <w:t xml:space="preserve">Предложения, които надвишават </w:t>
      </w:r>
      <w:r>
        <w:rPr>
          <w:rFonts w:ascii="Times New Roman" w:hAnsi="Times New Roman"/>
          <w:sz w:val="24"/>
          <w:szCs w:val="24"/>
        </w:rPr>
        <w:t>горепосочения срок</w:t>
      </w:r>
      <w:r w:rsidRPr="00E24281">
        <w:rPr>
          <w:rFonts w:ascii="Times New Roman" w:hAnsi="Times New Roman"/>
          <w:sz w:val="24"/>
          <w:szCs w:val="24"/>
        </w:rPr>
        <w:t>, ще бъдат предложени за отстраняване.</w:t>
      </w:r>
    </w:p>
    <w:p w:rsidR="00112CC3" w:rsidRDefault="00112CC3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709"/>
        <w:jc w:val="both"/>
        <w:rPr>
          <w:sz w:val="24"/>
          <w:szCs w:val="24"/>
        </w:rPr>
      </w:pPr>
      <w:r w:rsidRPr="00D21B7C">
        <w:rPr>
          <w:sz w:val="24"/>
          <w:szCs w:val="24"/>
        </w:rPr>
        <w:t>Съгласно чл. 18, ал1</w:t>
      </w:r>
      <w:r w:rsidR="00E96120">
        <w:rPr>
          <w:sz w:val="24"/>
          <w:szCs w:val="24"/>
        </w:rPr>
        <w:t>.</w:t>
      </w:r>
      <w:r w:rsidR="00551C0E">
        <w:rPr>
          <w:sz w:val="24"/>
          <w:szCs w:val="24"/>
        </w:rPr>
        <w:t xml:space="preserve"> Докладите и Резюметата</w:t>
      </w:r>
      <w:r w:rsidR="00E96120">
        <w:rPr>
          <w:sz w:val="24"/>
          <w:szCs w:val="24"/>
        </w:rPr>
        <w:t xml:space="preserve"> за всяко населено място</w:t>
      </w:r>
      <w:r w:rsidRPr="00D21B7C">
        <w:rPr>
          <w:sz w:val="24"/>
          <w:szCs w:val="24"/>
        </w:rPr>
        <w:t xml:space="preserve"> се приемат от Възложителя или от упълномощено от него лице с </w:t>
      </w:r>
      <w:r w:rsidR="00921720">
        <w:rPr>
          <w:sz w:val="24"/>
          <w:szCs w:val="24"/>
        </w:rPr>
        <w:t>приемо-предавателни</w:t>
      </w:r>
      <w:r w:rsidR="00550D0B">
        <w:rPr>
          <w:sz w:val="24"/>
          <w:szCs w:val="24"/>
          <w:lang w:val="en-US"/>
        </w:rPr>
        <w:t xml:space="preserve"> </w:t>
      </w:r>
      <w:r w:rsidRPr="00D21B7C">
        <w:rPr>
          <w:sz w:val="24"/>
          <w:szCs w:val="24"/>
        </w:rPr>
        <w:t>протокол</w:t>
      </w:r>
      <w:r w:rsidR="00551C0E">
        <w:rPr>
          <w:sz w:val="24"/>
          <w:szCs w:val="24"/>
        </w:rPr>
        <w:t>и</w:t>
      </w:r>
      <w:r w:rsidRPr="00D21B7C">
        <w:rPr>
          <w:sz w:val="24"/>
          <w:szCs w:val="24"/>
        </w:rPr>
        <w:t xml:space="preserve"> по образец - съгласно</w:t>
      </w:r>
      <w:r w:rsidRPr="00D21B7C">
        <w:t xml:space="preserve"> приложение № 4 </w:t>
      </w:r>
      <w:r w:rsidRPr="00D21B7C">
        <w:rPr>
          <w:sz w:val="24"/>
          <w:szCs w:val="24"/>
        </w:rPr>
        <w:t>от „Наредба № Е-РД-04-05 от 8 септември 2016 г.”</w:t>
      </w:r>
      <w:r w:rsidR="00432A4A">
        <w:rPr>
          <w:sz w:val="24"/>
          <w:szCs w:val="24"/>
        </w:rPr>
        <w:t xml:space="preserve">. </w:t>
      </w:r>
      <w:r w:rsidR="00551C0E">
        <w:rPr>
          <w:sz w:val="24"/>
          <w:szCs w:val="24"/>
        </w:rPr>
        <w:t>Докладите и резюметата</w:t>
      </w:r>
      <w:r w:rsidR="001A5CAA" w:rsidRPr="00D21B7C">
        <w:rPr>
          <w:sz w:val="24"/>
          <w:szCs w:val="24"/>
        </w:rPr>
        <w:t xml:space="preserve"> се представят на хартиен и електронен носител и се придружават с о</w:t>
      </w:r>
      <w:r w:rsidR="00AD1101" w:rsidRPr="00D21B7C">
        <w:rPr>
          <w:sz w:val="24"/>
          <w:szCs w:val="24"/>
        </w:rPr>
        <w:t>ригинал</w:t>
      </w:r>
      <w:r w:rsidR="001A5CAA" w:rsidRPr="00D21B7C">
        <w:rPr>
          <w:sz w:val="24"/>
          <w:szCs w:val="24"/>
        </w:rPr>
        <w:t>и на декларации</w:t>
      </w:r>
      <w:r w:rsidR="00AD1101" w:rsidRPr="00D21B7C">
        <w:rPr>
          <w:sz w:val="24"/>
          <w:szCs w:val="24"/>
        </w:rPr>
        <w:t xml:space="preserve"> за липса на обстоятелства по чл. 59, ал. 2 и 4 </w:t>
      </w:r>
      <w:r w:rsidR="001A5CAA" w:rsidRPr="00D21B7C">
        <w:rPr>
          <w:sz w:val="24"/>
          <w:szCs w:val="24"/>
        </w:rPr>
        <w:t xml:space="preserve">от </w:t>
      </w:r>
      <w:r w:rsidR="00AD1101" w:rsidRPr="00D21B7C">
        <w:rPr>
          <w:sz w:val="24"/>
          <w:szCs w:val="24"/>
        </w:rPr>
        <w:t xml:space="preserve">ЗЕЕ по </w:t>
      </w:r>
      <w:r w:rsidR="001A5CAA" w:rsidRPr="00D21B7C">
        <w:rPr>
          <w:sz w:val="24"/>
          <w:szCs w:val="24"/>
        </w:rPr>
        <w:t>образец съгласно приложение № 5 от „Наредба № Е-РД-04-05 от 8 септември 2016 г.”</w:t>
      </w:r>
    </w:p>
    <w:p w:rsidR="00F0113F" w:rsidRPr="00D21B7C" w:rsidRDefault="00F0113F" w:rsidP="00F0113F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Приемането на Докладите и Резюметата може да се извърши поетапно в зависимост от готовността на Изпълнителя без да се нарушава крайния срок за изпълнение на поръчката.</w:t>
      </w:r>
    </w:p>
    <w:p w:rsidR="00925705" w:rsidRDefault="00112CC3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709"/>
        <w:jc w:val="both"/>
        <w:rPr>
          <w:bCs/>
          <w:sz w:val="24"/>
          <w:szCs w:val="24"/>
          <w:lang w:val="ru-RU"/>
        </w:rPr>
      </w:pPr>
      <w:r w:rsidRPr="003C37C1">
        <w:rPr>
          <w:sz w:val="24"/>
          <w:szCs w:val="24"/>
        </w:rPr>
        <w:t>Изпълнителят извършв</w:t>
      </w:r>
      <w:r w:rsidR="00551C0E">
        <w:rPr>
          <w:sz w:val="24"/>
          <w:szCs w:val="24"/>
        </w:rPr>
        <w:t>а обследването и изготвя докладите</w:t>
      </w:r>
      <w:r w:rsidRPr="003C37C1">
        <w:rPr>
          <w:sz w:val="24"/>
          <w:szCs w:val="24"/>
        </w:rPr>
        <w:t xml:space="preserve"> в срока по договора, като отчита следните фактори:</w:t>
      </w:r>
      <w:r w:rsidR="00F576A1" w:rsidRPr="003C37C1">
        <w:rPr>
          <w:sz w:val="24"/>
          <w:szCs w:val="24"/>
        </w:rPr>
        <w:t xml:space="preserve">Възложителят  разглежда представените документи, като </w:t>
      </w:r>
      <w:r w:rsidR="00551C0E">
        <w:rPr>
          <w:sz w:val="24"/>
          <w:szCs w:val="24"/>
        </w:rPr>
        <w:t>при констатиране на недостатъци,</w:t>
      </w:r>
      <w:r w:rsidR="00F576A1" w:rsidRPr="003C37C1">
        <w:rPr>
          <w:sz w:val="24"/>
          <w:szCs w:val="24"/>
        </w:rPr>
        <w:t xml:space="preserve"> определя срок за отстраняването им. </w:t>
      </w:r>
      <w:r w:rsidRPr="003C37C1">
        <w:rPr>
          <w:sz w:val="24"/>
          <w:szCs w:val="24"/>
        </w:rPr>
        <w:t>Изпъ</w:t>
      </w:r>
      <w:r w:rsidR="00F576A1" w:rsidRPr="003C37C1">
        <w:rPr>
          <w:sz w:val="24"/>
          <w:szCs w:val="24"/>
        </w:rPr>
        <w:t>лнителят отстранява за своя сметка всички недостатъци в посочения срок.Оконч</w:t>
      </w:r>
      <w:r w:rsidR="00551C0E">
        <w:rPr>
          <w:sz w:val="24"/>
          <w:szCs w:val="24"/>
        </w:rPr>
        <w:t>ателното приемане на изработките</w:t>
      </w:r>
      <w:r w:rsidR="00921720">
        <w:rPr>
          <w:sz w:val="24"/>
          <w:szCs w:val="24"/>
        </w:rPr>
        <w:t xml:space="preserve"> се извършва с подписването на приемо-предавателни п</w:t>
      </w:r>
      <w:r w:rsidR="00F576A1" w:rsidRPr="003C37C1">
        <w:rPr>
          <w:sz w:val="24"/>
          <w:szCs w:val="24"/>
        </w:rPr>
        <w:t>ротокол</w:t>
      </w:r>
      <w:r w:rsidR="00551C0E">
        <w:rPr>
          <w:sz w:val="24"/>
          <w:szCs w:val="24"/>
        </w:rPr>
        <w:t>и</w:t>
      </w:r>
      <w:r w:rsidR="00F576A1" w:rsidRPr="003C37C1">
        <w:rPr>
          <w:sz w:val="24"/>
          <w:szCs w:val="24"/>
        </w:rPr>
        <w:t xml:space="preserve"> – приложение №4 към Наредба </w:t>
      </w:r>
      <w:r w:rsidR="00F576A1" w:rsidRPr="003C37C1">
        <w:rPr>
          <w:bCs/>
          <w:sz w:val="24"/>
          <w:szCs w:val="24"/>
        </w:rPr>
        <w:t>№ Е-РД-04-05 от 2016 г</w:t>
      </w:r>
      <w:r w:rsidR="00B51282" w:rsidRPr="003C37C1">
        <w:rPr>
          <w:bCs/>
          <w:sz w:val="24"/>
          <w:szCs w:val="24"/>
          <w:lang w:val="ru-RU"/>
        </w:rPr>
        <w:t>.</w:t>
      </w:r>
    </w:p>
    <w:p w:rsidR="00A51273" w:rsidRDefault="00A51273" w:rsidP="003C37C1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76" w:lineRule="auto"/>
        <w:ind w:firstLine="709"/>
        <w:jc w:val="both"/>
        <w:rPr>
          <w:bCs/>
          <w:sz w:val="24"/>
          <w:szCs w:val="24"/>
          <w:lang w:val="ru-RU"/>
        </w:rPr>
      </w:pPr>
    </w:p>
    <w:p w:rsidR="00A51273" w:rsidRPr="00A51273" w:rsidRDefault="00A51273" w:rsidP="00A51273">
      <w:pPr>
        <w:pStyle w:val="Bodytext30"/>
        <w:shd w:val="clear" w:color="auto" w:fill="auto"/>
        <w:tabs>
          <w:tab w:val="left" w:pos="726"/>
          <w:tab w:val="left" w:pos="1134"/>
        </w:tabs>
        <w:spacing w:before="0" w:line="240" w:lineRule="auto"/>
        <w:ind w:firstLine="709"/>
        <w:jc w:val="both"/>
        <w:rPr>
          <w:bCs/>
          <w:sz w:val="20"/>
          <w:szCs w:val="20"/>
          <w:lang w:val="ru-RU"/>
        </w:rPr>
      </w:pPr>
    </w:p>
    <w:sectPr w:rsidR="00A51273" w:rsidRPr="00A51273" w:rsidSect="00520513">
      <w:footerReference w:type="default" r:id="rId8"/>
      <w:headerReference w:type="first" r:id="rId9"/>
      <w:footerReference w:type="first" r:id="rId10"/>
      <w:pgSz w:w="11906" w:h="16838"/>
      <w:pgMar w:top="1417" w:right="1417" w:bottom="709" w:left="1417" w:header="993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0E" w:rsidRDefault="00C0510E" w:rsidP="00F05E58">
      <w:r>
        <w:separator/>
      </w:r>
    </w:p>
  </w:endnote>
  <w:endnote w:type="continuationSeparator" w:id="1">
    <w:p w:rsidR="00C0510E" w:rsidRDefault="00C0510E" w:rsidP="00F05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084266"/>
      <w:docPartObj>
        <w:docPartGallery w:val="Page Numbers (Bottom of Page)"/>
        <w:docPartUnique/>
      </w:docPartObj>
    </w:sdtPr>
    <w:sdtContent>
      <w:p w:rsidR="003C37C1" w:rsidRDefault="0072384A">
        <w:pPr>
          <w:pStyle w:val="a7"/>
          <w:jc w:val="center"/>
        </w:pPr>
        <w:r>
          <w:fldChar w:fldCharType="begin"/>
        </w:r>
        <w:r w:rsidR="003C37C1">
          <w:instrText>PAGE   \* MERGEFORMAT</w:instrText>
        </w:r>
        <w:r>
          <w:fldChar w:fldCharType="separate"/>
        </w:r>
        <w:r w:rsidR="00550D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709646"/>
      <w:docPartObj>
        <w:docPartGallery w:val="Page Numbers (Bottom of Page)"/>
        <w:docPartUnique/>
      </w:docPartObj>
    </w:sdtPr>
    <w:sdtContent>
      <w:p w:rsidR="003C37C1" w:rsidRPr="004E2ABB" w:rsidRDefault="0072384A" w:rsidP="004E2ABB">
        <w:pPr>
          <w:pStyle w:val="a7"/>
          <w:jc w:val="center"/>
        </w:pPr>
        <w:r>
          <w:fldChar w:fldCharType="begin"/>
        </w:r>
        <w:r w:rsidR="003C37C1">
          <w:instrText>PAGE   \* MERGEFORMAT</w:instrText>
        </w:r>
        <w:r>
          <w:fldChar w:fldCharType="separate"/>
        </w:r>
        <w:r w:rsidR="00550D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0E" w:rsidRDefault="00C0510E" w:rsidP="00F05E58">
      <w:r>
        <w:separator/>
      </w:r>
    </w:p>
  </w:footnote>
  <w:footnote w:type="continuationSeparator" w:id="1">
    <w:p w:rsidR="00C0510E" w:rsidRDefault="00C0510E" w:rsidP="00F05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7C1" w:rsidRPr="00A00C47" w:rsidRDefault="003C37C1" w:rsidP="00F05E58">
    <w:pPr>
      <w:rPr>
        <w:sz w:val="24"/>
        <w:szCs w:val="24"/>
        <w:lang w:val="en-US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leftMargin">
            <wp:posOffset>901700</wp:posOffset>
          </wp:positionH>
          <wp:positionV relativeFrom="paragraph">
            <wp:posOffset>-467995</wp:posOffset>
          </wp:positionV>
          <wp:extent cx="619125" cy="914400"/>
          <wp:effectExtent l="0" t="0" r="9525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384A" w:rsidRPr="0072384A">
      <w:rPr>
        <w:rFonts w:ascii="Arial Narrow" w:hAnsi="Arial Narrow" w:cs="Arial"/>
        <w:noProof/>
        <w:sz w:val="22"/>
        <w:szCs w:val="22"/>
      </w:rPr>
      <w:pict>
        <v:line id="Line 5" o:spid="_x0000_s2055" style="position:absolute;z-index:251665408;visibility:visible;mso-position-horizontal:center;mso-position-horizontal-relative:text;mso-position-vertical-relative:text" from="0,11.1pt" to="333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CKjs012gAAAAYBAAAPAAAAZHJzL2Rvd25yZXYueG1sTI9PT8MwDMXvSHyH&#10;yEjcWEph1ShNpwmJE5cx/oij15qm0DhVknXl22PEAY5+z37v52o9u0FNFGLv2cDlIgNF3Pi2587A&#10;89P9xQpUTMgtDp7JwBdFWNenJxWWrT/yI0271CkJ4ViiAZvSWGodG0sO48KPxOK9++AwyRg63QY8&#10;SrgbdJ5lhXbYszRYHOnOUvO5OzjB+KBVt3ybrsPLdvtws3m1eDVbY87P5s0tqERz+luGH3y5gVqY&#10;9v7AbVSDAXkkGcjzHJS4RVEsQe1/BV1X+j9+/Q0AAP//AwBQSwECLQAUAAYACAAAACEAtoM4kv4A&#10;AADhAQAAEwAAAAAAAAAAAAAAAAAAAAAAW0NvbnRlbnRfVHlwZXNdLnhtbFBLAQItABQABgAIAAAA&#10;IQA4/SH/1gAAAJQBAAALAAAAAAAAAAAAAAAAAC8BAABfcmVscy8ucmVsc1BLAQItABQABgAIAAAA&#10;IQBlv0vAGgIAADQEAAAOAAAAAAAAAAAAAAAAAC4CAABkcnMvZTJvRG9jLnhtbFBLAQItABQABgAI&#10;AAAAIQCKjs012gAAAAYBAAAPAAAAAAAAAAAAAAAAAHQEAABkcnMvZG93bnJldi54bWxQSwUGAAAA&#10;AAQABADzAAAAewUAAAAA&#10;" strokeweight="4pt">
          <v:stroke linestyle="thickBetweenThin"/>
        </v:line>
      </w:pict>
    </w:r>
    <w:r w:rsidR="0072384A" w:rsidRPr="0072384A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-11.3pt;width:282.75pt;height:18pt;z-index:251666432;mso-position-horizontal:center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haracter">
            <wp:posOffset>5180965</wp:posOffset>
          </wp:positionH>
          <wp:positionV relativeFrom="paragraph">
            <wp:posOffset>-315595</wp:posOffset>
          </wp:positionV>
          <wp:extent cx="798830" cy="771525"/>
          <wp:effectExtent l="0" t="0" r="1270" b="9525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37C1" w:rsidRPr="00555B79" w:rsidRDefault="003C37C1" w:rsidP="007857C2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3C37C1" w:rsidRPr="00555B79" w:rsidRDefault="003C37C1" w:rsidP="007857C2">
    <w:pPr>
      <w:jc w:val="center"/>
      <w:rPr>
        <w:rFonts w:ascii="Arial Narrow" w:hAnsi="Arial Narrow" w:cs="Arial"/>
        <w:b/>
        <w:i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 xml:space="preserve">e-mail: </w:t>
    </w:r>
    <w:hyperlink r:id="rId3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website: </w:t>
    </w:r>
    <w:hyperlink r:id="rId4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5AB"/>
    <w:multiLevelType w:val="hybridMultilevel"/>
    <w:tmpl w:val="D44601C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053D56"/>
    <w:multiLevelType w:val="hybridMultilevel"/>
    <w:tmpl w:val="5D9CC2B2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4C314D"/>
    <w:multiLevelType w:val="hybridMultilevel"/>
    <w:tmpl w:val="0062F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87FE3"/>
    <w:multiLevelType w:val="multilevel"/>
    <w:tmpl w:val="68B45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DF4FA3"/>
    <w:multiLevelType w:val="hybridMultilevel"/>
    <w:tmpl w:val="0DF01B5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770550"/>
    <w:multiLevelType w:val="multilevel"/>
    <w:tmpl w:val="07162B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D73CEB"/>
    <w:multiLevelType w:val="hybridMultilevel"/>
    <w:tmpl w:val="A1C6D17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6E3259"/>
    <w:multiLevelType w:val="hybridMultilevel"/>
    <w:tmpl w:val="7500010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073153"/>
    <w:multiLevelType w:val="hybridMultilevel"/>
    <w:tmpl w:val="DF72B6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7032A9"/>
    <w:multiLevelType w:val="hybridMultilevel"/>
    <w:tmpl w:val="6BD8B86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F516AA"/>
    <w:multiLevelType w:val="multilevel"/>
    <w:tmpl w:val="5F28E25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B4585F"/>
    <w:multiLevelType w:val="multilevel"/>
    <w:tmpl w:val="07162B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5E241C"/>
    <w:multiLevelType w:val="hybridMultilevel"/>
    <w:tmpl w:val="F5FA1A7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E58"/>
    <w:rsid w:val="00003408"/>
    <w:rsid w:val="00015C2F"/>
    <w:rsid w:val="00016BAF"/>
    <w:rsid w:val="0003011B"/>
    <w:rsid w:val="00042CCA"/>
    <w:rsid w:val="000474DD"/>
    <w:rsid w:val="00054EF3"/>
    <w:rsid w:val="00062465"/>
    <w:rsid w:val="00062D67"/>
    <w:rsid w:val="000668D1"/>
    <w:rsid w:val="00075983"/>
    <w:rsid w:val="00075D12"/>
    <w:rsid w:val="0007660E"/>
    <w:rsid w:val="00091618"/>
    <w:rsid w:val="000929E3"/>
    <w:rsid w:val="000A148D"/>
    <w:rsid w:val="000A1A35"/>
    <w:rsid w:val="000A40E4"/>
    <w:rsid w:val="000B03B9"/>
    <w:rsid w:val="000B0802"/>
    <w:rsid w:val="000B09B8"/>
    <w:rsid w:val="000B7FFE"/>
    <w:rsid w:val="000C3DEC"/>
    <w:rsid w:val="000C4BB3"/>
    <w:rsid w:val="000D18B8"/>
    <w:rsid w:val="000D3B8B"/>
    <w:rsid w:val="000D6433"/>
    <w:rsid w:val="000F2DD7"/>
    <w:rsid w:val="00105793"/>
    <w:rsid w:val="00112CC3"/>
    <w:rsid w:val="001235B1"/>
    <w:rsid w:val="00126020"/>
    <w:rsid w:val="00127688"/>
    <w:rsid w:val="00152250"/>
    <w:rsid w:val="00165FA9"/>
    <w:rsid w:val="001677C1"/>
    <w:rsid w:val="00187D20"/>
    <w:rsid w:val="001910B6"/>
    <w:rsid w:val="001A48F7"/>
    <w:rsid w:val="001A5CAA"/>
    <w:rsid w:val="001B28E6"/>
    <w:rsid w:val="001C79D5"/>
    <w:rsid w:val="001D40A5"/>
    <w:rsid w:val="001D7F61"/>
    <w:rsid w:val="001E19A8"/>
    <w:rsid w:val="001E5C5D"/>
    <w:rsid w:val="00203190"/>
    <w:rsid w:val="002178EB"/>
    <w:rsid w:val="00227F8D"/>
    <w:rsid w:val="002349AE"/>
    <w:rsid w:val="002367D5"/>
    <w:rsid w:val="00243BE1"/>
    <w:rsid w:val="00246FEA"/>
    <w:rsid w:val="0024785D"/>
    <w:rsid w:val="002636A4"/>
    <w:rsid w:val="00263915"/>
    <w:rsid w:val="002801FB"/>
    <w:rsid w:val="002A5A85"/>
    <w:rsid w:val="002C3AA3"/>
    <w:rsid w:val="002D69D9"/>
    <w:rsid w:val="002D6F15"/>
    <w:rsid w:val="002F7BE0"/>
    <w:rsid w:val="002F7CAE"/>
    <w:rsid w:val="00306AFF"/>
    <w:rsid w:val="0031289B"/>
    <w:rsid w:val="00317793"/>
    <w:rsid w:val="0033284B"/>
    <w:rsid w:val="00332E07"/>
    <w:rsid w:val="0033741F"/>
    <w:rsid w:val="00343186"/>
    <w:rsid w:val="00362C62"/>
    <w:rsid w:val="003702EE"/>
    <w:rsid w:val="00377A1F"/>
    <w:rsid w:val="00395ADF"/>
    <w:rsid w:val="003A14A1"/>
    <w:rsid w:val="003B42D6"/>
    <w:rsid w:val="003C37C1"/>
    <w:rsid w:val="003C76A5"/>
    <w:rsid w:val="003D1F56"/>
    <w:rsid w:val="003D258A"/>
    <w:rsid w:val="003E1117"/>
    <w:rsid w:val="003E7F24"/>
    <w:rsid w:val="003F101A"/>
    <w:rsid w:val="003F1C75"/>
    <w:rsid w:val="003F32C0"/>
    <w:rsid w:val="003F3405"/>
    <w:rsid w:val="0040705A"/>
    <w:rsid w:val="00416FD3"/>
    <w:rsid w:val="00425C62"/>
    <w:rsid w:val="004307C0"/>
    <w:rsid w:val="00432A4A"/>
    <w:rsid w:val="004411DD"/>
    <w:rsid w:val="00451008"/>
    <w:rsid w:val="00462A00"/>
    <w:rsid w:val="00464509"/>
    <w:rsid w:val="00467C0B"/>
    <w:rsid w:val="00471049"/>
    <w:rsid w:val="00483CD4"/>
    <w:rsid w:val="004857A5"/>
    <w:rsid w:val="004A0040"/>
    <w:rsid w:val="004A0F49"/>
    <w:rsid w:val="004A4ABA"/>
    <w:rsid w:val="004A50EA"/>
    <w:rsid w:val="004B0AA0"/>
    <w:rsid w:val="004C600E"/>
    <w:rsid w:val="004C7D67"/>
    <w:rsid w:val="004E2ABB"/>
    <w:rsid w:val="004E6A5E"/>
    <w:rsid w:val="004F6287"/>
    <w:rsid w:val="00501229"/>
    <w:rsid w:val="00502259"/>
    <w:rsid w:val="005023D3"/>
    <w:rsid w:val="00511826"/>
    <w:rsid w:val="005161C1"/>
    <w:rsid w:val="00520513"/>
    <w:rsid w:val="0052719D"/>
    <w:rsid w:val="005320B9"/>
    <w:rsid w:val="00550D0B"/>
    <w:rsid w:val="00551C0E"/>
    <w:rsid w:val="00562111"/>
    <w:rsid w:val="00576D93"/>
    <w:rsid w:val="00586E3C"/>
    <w:rsid w:val="005871F0"/>
    <w:rsid w:val="005A3C04"/>
    <w:rsid w:val="005C087E"/>
    <w:rsid w:val="005C3BC1"/>
    <w:rsid w:val="005C524E"/>
    <w:rsid w:val="005D2B51"/>
    <w:rsid w:val="005D4034"/>
    <w:rsid w:val="005D4972"/>
    <w:rsid w:val="005F1416"/>
    <w:rsid w:val="005F33B7"/>
    <w:rsid w:val="005F4777"/>
    <w:rsid w:val="0061336F"/>
    <w:rsid w:val="006227BF"/>
    <w:rsid w:val="00625AC6"/>
    <w:rsid w:val="0063337C"/>
    <w:rsid w:val="006336E5"/>
    <w:rsid w:val="0064596A"/>
    <w:rsid w:val="00653F56"/>
    <w:rsid w:val="006632E9"/>
    <w:rsid w:val="006A1DE3"/>
    <w:rsid w:val="006A3C61"/>
    <w:rsid w:val="006B3961"/>
    <w:rsid w:val="006B475D"/>
    <w:rsid w:val="006B746A"/>
    <w:rsid w:val="006D5DAA"/>
    <w:rsid w:val="006E5689"/>
    <w:rsid w:val="006F64E7"/>
    <w:rsid w:val="007115CC"/>
    <w:rsid w:val="007223B5"/>
    <w:rsid w:val="0072384A"/>
    <w:rsid w:val="00726E96"/>
    <w:rsid w:val="007364C9"/>
    <w:rsid w:val="007501B8"/>
    <w:rsid w:val="0075411E"/>
    <w:rsid w:val="00754486"/>
    <w:rsid w:val="00757FEB"/>
    <w:rsid w:val="00761207"/>
    <w:rsid w:val="007612D2"/>
    <w:rsid w:val="00761EA9"/>
    <w:rsid w:val="00766B01"/>
    <w:rsid w:val="00772059"/>
    <w:rsid w:val="007737C0"/>
    <w:rsid w:val="007857C2"/>
    <w:rsid w:val="0079059F"/>
    <w:rsid w:val="00791947"/>
    <w:rsid w:val="007A1ADF"/>
    <w:rsid w:val="007B27E1"/>
    <w:rsid w:val="007B2ED7"/>
    <w:rsid w:val="007B6C81"/>
    <w:rsid w:val="007C1183"/>
    <w:rsid w:val="007C6BA5"/>
    <w:rsid w:val="007D37AE"/>
    <w:rsid w:val="007D53C3"/>
    <w:rsid w:val="007E7096"/>
    <w:rsid w:val="007F575B"/>
    <w:rsid w:val="00802624"/>
    <w:rsid w:val="00817A12"/>
    <w:rsid w:val="008355D8"/>
    <w:rsid w:val="00841793"/>
    <w:rsid w:val="00842D20"/>
    <w:rsid w:val="00842D93"/>
    <w:rsid w:val="008464C8"/>
    <w:rsid w:val="00855030"/>
    <w:rsid w:val="008718B6"/>
    <w:rsid w:val="008727AF"/>
    <w:rsid w:val="0088213C"/>
    <w:rsid w:val="008974F8"/>
    <w:rsid w:val="008A2E35"/>
    <w:rsid w:val="008A6B6D"/>
    <w:rsid w:val="008B238A"/>
    <w:rsid w:val="008B23C0"/>
    <w:rsid w:val="008C6287"/>
    <w:rsid w:val="008C7F8E"/>
    <w:rsid w:val="008E0A96"/>
    <w:rsid w:val="008E1E29"/>
    <w:rsid w:val="008F4BEF"/>
    <w:rsid w:val="009152A6"/>
    <w:rsid w:val="00915A68"/>
    <w:rsid w:val="00920FBB"/>
    <w:rsid w:val="00921720"/>
    <w:rsid w:val="00925705"/>
    <w:rsid w:val="0092747E"/>
    <w:rsid w:val="0094654B"/>
    <w:rsid w:val="009510EE"/>
    <w:rsid w:val="00951BE9"/>
    <w:rsid w:val="00957BD0"/>
    <w:rsid w:val="00957F7C"/>
    <w:rsid w:val="00976073"/>
    <w:rsid w:val="0098308B"/>
    <w:rsid w:val="00984712"/>
    <w:rsid w:val="009946D5"/>
    <w:rsid w:val="009A324A"/>
    <w:rsid w:val="009A3A74"/>
    <w:rsid w:val="009A3BE1"/>
    <w:rsid w:val="009B2170"/>
    <w:rsid w:val="009C3F48"/>
    <w:rsid w:val="009D090C"/>
    <w:rsid w:val="009D5233"/>
    <w:rsid w:val="009D6CFB"/>
    <w:rsid w:val="009F4301"/>
    <w:rsid w:val="00A00C47"/>
    <w:rsid w:val="00A02096"/>
    <w:rsid w:val="00A0781C"/>
    <w:rsid w:val="00A1500E"/>
    <w:rsid w:val="00A16E72"/>
    <w:rsid w:val="00A22881"/>
    <w:rsid w:val="00A24B59"/>
    <w:rsid w:val="00A257C2"/>
    <w:rsid w:val="00A410F3"/>
    <w:rsid w:val="00A46062"/>
    <w:rsid w:val="00A46F36"/>
    <w:rsid w:val="00A51273"/>
    <w:rsid w:val="00A5201D"/>
    <w:rsid w:val="00A529BC"/>
    <w:rsid w:val="00A53BCF"/>
    <w:rsid w:val="00A87086"/>
    <w:rsid w:val="00AA1B00"/>
    <w:rsid w:val="00AA2BAA"/>
    <w:rsid w:val="00AA5691"/>
    <w:rsid w:val="00AA604E"/>
    <w:rsid w:val="00AA67D3"/>
    <w:rsid w:val="00AA721B"/>
    <w:rsid w:val="00AB2450"/>
    <w:rsid w:val="00AC06E3"/>
    <w:rsid w:val="00AC63C4"/>
    <w:rsid w:val="00AC79A9"/>
    <w:rsid w:val="00AD1101"/>
    <w:rsid w:val="00AD3B04"/>
    <w:rsid w:val="00AD50BA"/>
    <w:rsid w:val="00AE4506"/>
    <w:rsid w:val="00AE4F35"/>
    <w:rsid w:val="00AE5053"/>
    <w:rsid w:val="00AE6522"/>
    <w:rsid w:val="00AF0BA3"/>
    <w:rsid w:val="00AF2BA6"/>
    <w:rsid w:val="00B0455F"/>
    <w:rsid w:val="00B12A6D"/>
    <w:rsid w:val="00B4426C"/>
    <w:rsid w:val="00B51282"/>
    <w:rsid w:val="00B57489"/>
    <w:rsid w:val="00B93406"/>
    <w:rsid w:val="00BA05B4"/>
    <w:rsid w:val="00BA73CD"/>
    <w:rsid w:val="00BC3BD1"/>
    <w:rsid w:val="00BD5C16"/>
    <w:rsid w:val="00BD6993"/>
    <w:rsid w:val="00BE1D49"/>
    <w:rsid w:val="00BF2CF1"/>
    <w:rsid w:val="00BF5476"/>
    <w:rsid w:val="00BF59FB"/>
    <w:rsid w:val="00C0510E"/>
    <w:rsid w:val="00C27E88"/>
    <w:rsid w:val="00C45C74"/>
    <w:rsid w:val="00C4739C"/>
    <w:rsid w:val="00C54031"/>
    <w:rsid w:val="00C55C51"/>
    <w:rsid w:val="00C713C2"/>
    <w:rsid w:val="00C742D8"/>
    <w:rsid w:val="00C8117A"/>
    <w:rsid w:val="00C831EF"/>
    <w:rsid w:val="00C94FEF"/>
    <w:rsid w:val="00CB04AE"/>
    <w:rsid w:val="00CB1372"/>
    <w:rsid w:val="00CD2E6C"/>
    <w:rsid w:val="00CD7FD3"/>
    <w:rsid w:val="00CE4901"/>
    <w:rsid w:val="00CF1153"/>
    <w:rsid w:val="00CF3112"/>
    <w:rsid w:val="00D21B7C"/>
    <w:rsid w:val="00D263E0"/>
    <w:rsid w:val="00D43613"/>
    <w:rsid w:val="00D51BC9"/>
    <w:rsid w:val="00D64E25"/>
    <w:rsid w:val="00D65CD3"/>
    <w:rsid w:val="00D9016E"/>
    <w:rsid w:val="00D91E79"/>
    <w:rsid w:val="00DB560D"/>
    <w:rsid w:val="00DC1BD7"/>
    <w:rsid w:val="00DD1871"/>
    <w:rsid w:val="00DD1EA7"/>
    <w:rsid w:val="00DD4C9B"/>
    <w:rsid w:val="00DE2623"/>
    <w:rsid w:val="00DF0318"/>
    <w:rsid w:val="00DF4C87"/>
    <w:rsid w:val="00DF6678"/>
    <w:rsid w:val="00E013F8"/>
    <w:rsid w:val="00E026E1"/>
    <w:rsid w:val="00E06DFB"/>
    <w:rsid w:val="00E169C5"/>
    <w:rsid w:val="00E24889"/>
    <w:rsid w:val="00E25B4E"/>
    <w:rsid w:val="00E31E09"/>
    <w:rsid w:val="00E32B10"/>
    <w:rsid w:val="00E473E9"/>
    <w:rsid w:val="00E50253"/>
    <w:rsid w:val="00E56C09"/>
    <w:rsid w:val="00E6198E"/>
    <w:rsid w:val="00E75504"/>
    <w:rsid w:val="00E96120"/>
    <w:rsid w:val="00E971CD"/>
    <w:rsid w:val="00EA0B7F"/>
    <w:rsid w:val="00EA14A5"/>
    <w:rsid w:val="00EA5E2B"/>
    <w:rsid w:val="00EA6270"/>
    <w:rsid w:val="00ED290F"/>
    <w:rsid w:val="00EF0DEB"/>
    <w:rsid w:val="00EF17F3"/>
    <w:rsid w:val="00F0113F"/>
    <w:rsid w:val="00F01BCF"/>
    <w:rsid w:val="00F05E58"/>
    <w:rsid w:val="00F10A49"/>
    <w:rsid w:val="00F22E39"/>
    <w:rsid w:val="00F30773"/>
    <w:rsid w:val="00F3235B"/>
    <w:rsid w:val="00F36553"/>
    <w:rsid w:val="00F51C42"/>
    <w:rsid w:val="00F56362"/>
    <w:rsid w:val="00F576A1"/>
    <w:rsid w:val="00F7039C"/>
    <w:rsid w:val="00F70A24"/>
    <w:rsid w:val="00F730CF"/>
    <w:rsid w:val="00F76372"/>
    <w:rsid w:val="00F8507F"/>
    <w:rsid w:val="00F85189"/>
    <w:rsid w:val="00F87E87"/>
    <w:rsid w:val="00F94710"/>
    <w:rsid w:val="00F95919"/>
    <w:rsid w:val="00FB69CC"/>
    <w:rsid w:val="00FC11A7"/>
    <w:rsid w:val="00FC2022"/>
    <w:rsid w:val="00FE7FCE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uiPriority w:val="99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footnote text"/>
    <w:basedOn w:val="a"/>
    <w:link w:val="af2"/>
    <w:uiPriority w:val="99"/>
    <w:semiHidden/>
    <w:unhideWhenUsed/>
    <w:rsid w:val="00BA73CD"/>
    <w:pPr>
      <w:jc w:val="both"/>
    </w:pPr>
    <w:rPr>
      <w:rFonts w:eastAsia="Calibri"/>
      <w:lang w:eastAsia="en-US"/>
    </w:rPr>
  </w:style>
  <w:style w:type="character" w:customStyle="1" w:styleId="af2">
    <w:name w:val="Текст под линия Знак"/>
    <w:basedOn w:val="a0"/>
    <w:link w:val="af1"/>
    <w:uiPriority w:val="99"/>
    <w:semiHidden/>
    <w:rsid w:val="00BA73CD"/>
    <w:rPr>
      <w:rFonts w:eastAsia="Calibri"/>
      <w:lang w:eastAsia="en-US"/>
    </w:rPr>
  </w:style>
  <w:style w:type="character" w:styleId="af3">
    <w:name w:val="footnote reference"/>
    <w:uiPriority w:val="99"/>
    <w:semiHidden/>
    <w:unhideWhenUsed/>
    <w:rsid w:val="00BA73CD"/>
    <w:rPr>
      <w:vertAlign w:val="superscript"/>
    </w:rPr>
  </w:style>
  <w:style w:type="paragraph" w:customStyle="1" w:styleId="Standard">
    <w:name w:val="Standard"/>
    <w:rsid w:val="00462A00"/>
    <w:pPr>
      <w:widowControl w:val="0"/>
      <w:autoSpaceDE w:val="0"/>
      <w:autoSpaceDN w:val="0"/>
    </w:pPr>
    <w:rPr>
      <w:rFonts w:ascii="TmsCyr" w:hAnsi="TmsCyr" w:cs="TmsCyr"/>
      <w:sz w:val="24"/>
      <w:szCs w:val="24"/>
      <w:lang w:val="en-AU"/>
    </w:rPr>
  </w:style>
  <w:style w:type="character" w:customStyle="1" w:styleId="Bodytext3">
    <w:name w:val="Body text (3)_"/>
    <w:link w:val="Bodytext30"/>
    <w:rsid w:val="003F1C75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F1C75"/>
    <w:pPr>
      <w:shd w:val="clear" w:color="auto" w:fill="FFFFFF"/>
      <w:spacing w:before="6420" w:line="274" w:lineRule="exact"/>
      <w:ind w:hanging="360"/>
      <w:jc w:val="right"/>
    </w:pPr>
    <w:rPr>
      <w:sz w:val="23"/>
      <w:szCs w:val="23"/>
    </w:rPr>
  </w:style>
  <w:style w:type="character" w:customStyle="1" w:styleId="Bodytext">
    <w:name w:val="Body text_"/>
    <w:link w:val="21"/>
    <w:rsid w:val="003F1C75"/>
    <w:rPr>
      <w:sz w:val="23"/>
      <w:szCs w:val="23"/>
      <w:shd w:val="clear" w:color="auto" w:fill="FFFFFF"/>
    </w:rPr>
  </w:style>
  <w:style w:type="paragraph" w:customStyle="1" w:styleId="21">
    <w:name w:val="Основен текст2"/>
    <w:basedOn w:val="a"/>
    <w:link w:val="Bodytext"/>
    <w:rsid w:val="003F1C75"/>
    <w:pPr>
      <w:shd w:val="clear" w:color="auto" w:fill="FFFFFF"/>
      <w:spacing w:line="274" w:lineRule="exact"/>
      <w:ind w:hanging="720"/>
    </w:pPr>
    <w:rPr>
      <w:sz w:val="23"/>
      <w:szCs w:val="23"/>
    </w:rPr>
  </w:style>
  <w:style w:type="character" w:customStyle="1" w:styleId="Heading4">
    <w:name w:val="Heading #4_"/>
    <w:link w:val="Heading40"/>
    <w:rsid w:val="003F1C75"/>
    <w:rPr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3F1C75"/>
    <w:pPr>
      <w:shd w:val="clear" w:color="auto" w:fill="FFFFFF"/>
      <w:spacing w:before="240" w:after="60" w:line="0" w:lineRule="atLeast"/>
      <w:jc w:val="both"/>
      <w:outlineLvl w:val="3"/>
    </w:pPr>
    <w:rPr>
      <w:sz w:val="23"/>
      <w:szCs w:val="23"/>
    </w:rPr>
  </w:style>
  <w:style w:type="character" w:customStyle="1" w:styleId="BodytextBold">
    <w:name w:val="Body text + Bold"/>
    <w:rsid w:val="003F1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NotBold">
    <w:name w:val="Body text (3) + Not Bold"/>
    <w:rsid w:val="003F1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">
    <w:name w:val="Body text (5)_"/>
    <w:link w:val="Bodytext50"/>
    <w:rsid w:val="003F1C75"/>
    <w:rPr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rsid w:val="003F1C75"/>
    <w:pPr>
      <w:shd w:val="clear" w:color="auto" w:fill="FFFFFF"/>
      <w:spacing w:line="274" w:lineRule="exact"/>
      <w:jc w:val="both"/>
    </w:pPr>
    <w:rPr>
      <w:sz w:val="23"/>
      <w:szCs w:val="23"/>
    </w:rPr>
  </w:style>
  <w:style w:type="character" w:customStyle="1" w:styleId="apple-converted-space">
    <w:name w:val="apple-converted-space"/>
    <w:basedOn w:val="a0"/>
    <w:rsid w:val="003F1C75"/>
  </w:style>
  <w:style w:type="character" w:customStyle="1" w:styleId="Heading3">
    <w:name w:val="Heading #3_"/>
    <w:link w:val="Heading30"/>
    <w:rsid w:val="003F1C75"/>
    <w:rPr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3F1C75"/>
    <w:pPr>
      <w:shd w:val="clear" w:color="auto" w:fill="FFFFFF"/>
      <w:spacing w:before="240" w:line="283" w:lineRule="exact"/>
      <w:jc w:val="both"/>
      <w:outlineLvl w:val="2"/>
    </w:pPr>
    <w:rPr>
      <w:sz w:val="23"/>
      <w:szCs w:val="23"/>
    </w:rPr>
  </w:style>
  <w:style w:type="character" w:customStyle="1" w:styleId="samedocreference">
    <w:name w:val="samedocreference"/>
    <w:basedOn w:val="a0"/>
    <w:rsid w:val="003F1C75"/>
  </w:style>
  <w:style w:type="character" w:styleId="af4">
    <w:name w:val="Strong"/>
    <w:uiPriority w:val="22"/>
    <w:qFormat/>
    <w:rsid w:val="003F1C75"/>
    <w:rPr>
      <w:b/>
      <w:bCs/>
    </w:rPr>
  </w:style>
  <w:style w:type="character" w:styleId="af5">
    <w:name w:val="Emphasis"/>
    <w:uiPriority w:val="20"/>
    <w:qFormat/>
    <w:rsid w:val="003F1C75"/>
    <w:rPr>
      <w:i/>
      <w:iCs/>
    </w:rPr>
  </w:style>
  <w:style w:type="character" w:customStyle="1" w:styleId="Heading1">
    <w:name w:val="Heading #1_"/>
    <w:link w:val="Heading10"/>
    <w:rsid w:val="003F1C75"/>
    <w:rPr>
      <w:sz w:val="51"/>
      <w:szCs w:val="51"/>
      <w:shd w:val="clear" w:color="auto" w:fill="FFFFFF"/>
    </w:rPr>
  </w:style>
  <w:style w:type="paragraph" w:customStyle="1" w:styleId="Heading10">
    <w:name w:val="Heading #1"/>
    <w:basedOn w:val="a"/>
    <w:link w:val="Heading1"/>
    <w:rsid w:val="003F1C75"/>
    <w:pPr>
      <w:shd w:val="clear" w:color="auto" w:fill="FFFFFF"/>
      <w:spacing w:after="960" w:line="0" w:lineRule="atLeast"/>
      <w:jc w:val="center"/>
      <w:outlineLvl w:val="0"/>
    </w:pPr>
    <w:rPr>
      <w:sz w:val="51"/>
      <w:szCs w:val="51"/>
    </w:rPr>
  </w:style>
  <w:style w:type="character" w:customStyle="1" w:styleId="newdocreference">
    <w:name w:val="newdocreference"/>
    <w:basedOn w:val="a0"/>
    <w:rsid w:val="00817A12"/>
  </w:style>
  <w:style w:type="paragraph" w:customStyle="1" w:styleId="31">
    <w:name w:val="Основен текст3"/>
    <w:basedOn w:val="a"/>
    <w:rsid w:val="00EF0DEB"/>
    <w:pPr>
      <w:shd w:val="clear" w:color="auto" w:fill="FFFFFF"/>
      <w:spacing w:line="274" w:lineRule="exact"/>
      <w:ind w:hanging="720"/>
    </w:pPr>
    <w:rPr>
      <w:rFonts w:ascii="Calibri" w:eastAsia="Calibri" w:hAnsi="Calibr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30"/>
    <w:rsid w:val="00984712"/>
    <w:rPr>
      <w:sz w:val="23"/>
      <w:szCs w:val="23"/>
      <w:shd w:val="clear" w:color="auto" w:fill="FFFFFF"/>
    </w:rPr>
  </w:style>
  <w:style w:type="character" w:customStyle="1" w:styleId="220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23pt">
    <w:name w:val="Заглавие #2 (3)_"/>
    <w:basedOn w:val="a0"/>
    <w:link w:val="af0"/>
    <w:rsid w:val="00984712"/>
    <w:rPr>
      <w:sz w:val="24"/>
      <w:szCs w:val="24"/>
      <w:shd w:val="clear" w:color="auto" w:fill="FFFFFF"/>
    </w:rPr>
  </w:style>
  <w:style w:type="character" w:customStyle="1" w:styleId="23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3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af0">
    <w:name w:val="Заглавие #2 (3)"/>
    <w:basedOn w:val="a"/>
    <w:link w:val="223pt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23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footnote text"/>
    <w:basedOn w:val="a"/>
    <w:link w:val="af2"/>
    <w:uiPriority w:val="99"/>
    <w:semiHidden/>
    <w:unhideWhenUsed/>
    <w:rsid w:val="00BA73CD"/>
    <w:pPr>
      <w:jc w:val="both"/>
    </w:pPr>
    <w:rPr>
      <w:rFonts w:eastAsia="Calibri"/>
      <w:lang w:eastAsia="en-US"/>
    </w:rPr>
  </w:style>
  <w:style w:type="character" w:customStyle="1" w:styleId="af2">
    <w:name w:val="Текст под линия Знак"/>
    <w:basedOn w:val="a0"/>
    <w:link w:val="af1"/>
    <w:uiPriority w:val="99"/>
    <w:semiHidden/>
    <w:rsid w:val="00BA73CD"/>
    <w:rPr>
      <w:rFonts w:eastAsia="Calibri"/>
      <w:lang w:eastAsia="en-US"/>
    </w:rPr>
  </w:style>
  <w:style w:type="character" w:styleId="af3">
    <w:name w:val="footnote reference"/>
    <w:uiPriority w:val="99"/>
    <w:semiHidden/>
    <w:unhideWhenUsed/>
    <w:rsid w:val="00BA73CD"/>
    <w:rPr>
      <w:vertAlign w:val="superscript"/>
    </w:rPr>
  </w:style>
  <w:style w:type="paragraph" w:customStyle="1" w:styleId="Standard">
    <w:name w:val="Standard"/>
    <w:rsid w:val="00462A00"/>
    <w:pPr>
      <w:widowControl w:val="0"/>
      <w:autoSpaceDE w:val="0"/>
      <w:autoSpaceDN w:val="0"/>
    </w:pPr>
    <w:rPr>
      <w:rFonts w:ascii="TmsCyr" w:hAnsi="TmsCyr" w:cs="TmsCyr"/>
      <w:sz w:val="24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B6E23-CEB2-4AF9-82F5-C5F605F0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d_ivanova</dc:creator>
  <cp:lastModifiedBy>e_iusuf</cp:lastModifiedBy>
  <cp:revision>89</cp:revision>
  <cp:lastPrinted>2019-12-13T10:48:00Z</cp:lastPrinted>
  <dcterms:created xsi:type="dcterms:W3CDTF">2019-11-08T07:16:00Z</dcterms:created>
  <dcterms:modified xsi:type="dcterms:W3CDTF">2019-12-17T13:20:00Z</dcterms:modified>
</cp:coreProperties>
</file>